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124" w:rsidRDefault="00ED11D7">
      <w:pPr>
        <w:spacing w:after="214" w:line="259" w:lineRule="auto"/>
        <w:ind w:left="1138" w:firstLine="0"/>
        <w:jc w:val="center"/>
      </w:pPr>
      <w:r>
        <w:rPr>
          <w:b/>
          <w:color w:val="104F75"/>
          <w:sz w:val="40"/>
        </w:rPr>
        <w:t xml:space="preserve">Pupil premium strategy statement </w:t>
      </w:r>
      <w:r>
        <w:t xml:space="preserve"> </w:t>
      </w:r>
    </w:p>
    <w:p w:rsidR="009B4124" w:rsidRDefault="00ED11D7">
      <w:pPr>
        <w:spacing w:after="188"/>
        <w:ind w:left="1124"/>
      </w:pPr>
      <w:r>
        <w:t>This statement details our school’s use of pupil premium for the 202</w:t>
      </w:r>
      <w:r w:rsidR="00731D59">
        <w:t xml:space="preserve">3 </w:t>
      </w:r>
      <w:r>
        <w:t>to 202</w:t>
      </w:r>
      <w:r w:rsidR="00731D59">
        <w:t>4</w:t>
      </w:r>
      <w:r>
        <w:t xml:space="preserve"> academic year funding to help improve the attainment of our disadvantaged pupils.   </w:t>
      </w:r>
    </w:p>
    <w:p w:rsidR="009B4124" w:rsidRDefault="00ED11D7">
      <w:pPr>
        <w:spacing w:after="424"/>
        <w:ind w:left="1124"/>
      </w:pPr>
      <w:r>
        <w:t xml:space="preserve">It outlines our pupil premium strategy, how we intend to spend the funding in this academic year and the effect that last year’s spending of pupil premium had within our school.   </w:t>
      </w:r>
    </w:p>
    <w:p w:rsidR="009B4124" w:rsidRDefault="00ED11D7">
      <w:pPr>
        <w:pStyle w:val="Heading1"/>
        <w:spacing w:after="0"/>
        <w:ind w:left="1114"/>
      </w:pPr>
      <w:r>
        <w:t xml:space="preserve">School overview </w:t>
      </w:r>
      <w:r>
        <w:rPr>
          <w:b w:val="0"/>
          <w:color w:val="000000"/>
        </w:rPr>
        <w:t xml:space="preserve"> </w:t>
      </w:r>
    </w:p>
    <w:tbl>
      <w:tblPr>
        <w:tblStyle w:val="TableGrid"/>
        <w:tblW w:w="9486" w:type="dxa"/>
        <w:tblInd w:w="1146" w:type="dxa"/>
        <w:tblCellMar>
          <w:top w:w="134" w:type="dxa"/>
          <w:left w:w="164" w:type="dxa"/>
          <w:bottom w:w="97" w:type="dxa"/>
          <w:right w:w="101" w:type="dxa"/>
        </w:tblCellMar>
        <w:tblLook w:val="04A0" w:firstRow="1" w:lastRow="0" w:firstColumn="1" w:lastColumn="0" w:noHBand="0" w:noVBand="1"/>
      </w:tblPr>
      <w:tblGrid>
        <w:gridCol w:w="6517"/>
        <w:gridCol w:w="2969"/>
      </w:tblGrid>
      <w:tr w:rsidR="009B4124">
        <w:trPr>
          <w:trHeight w:val="548"/>
        </w:trPr>
        <w:tc>
          <w:tcPr>
            <w:tcW w:w="6517"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0" w:firstLine="0"/>
            </w:pPr>
            <w:r>
              <w:rPr>
                <w:b/>
                <w:color w:val="0D0D0D"/>
              </w:rPr>
              <w:t xml:space="preserve">Detail </w:t>
            </w:r>
            <w:r>
              <w:t xml:space="preserve"> </w:t>
            </w:r>
          </w:p>
        </w:tc>
        <w:tc>
          <w:tcPr>
            <w:tcW w:w="2969"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3" w:firstLine="0"/>
            </w:pPr>
            <w:r>
              <w:rPr>
                <w:b/>
                <w:color w:val="0D0D0D"/>
              </w:rPr>
              <w:t xml:space="preserve">Data </w:t>
            </w:r>
            <w:r>
              <w:t xml:space="preserve"> </w:t>
            </w:r>
          </w:p>
        </w:tc>
      </w:tr>
      <w:tr w:rsidR="009B4124">
        <w:trPr>
          <w:trHeight w:val="947"/>
        </w:trPr>
        <w:tc>
          <w:tcPr>
            <w:tcW w:w="651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School name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3" w:firstLine="0"/>
            </w:pPr>
            <w:r>
              <w:t xml:space="preserve">Somerset Bridge </w:t>
            </w:r>
          </w:p>
          <w:p w:rsidR="009B4124" w:rsidRDefault="00ED11D7">
            <w:pPr>
              <w:spacing w:after="0" w:line="259" w:lineRule="auto"/>
              <w:ind w:left="3" w:firstLine="0"/>
            </w:pPr>
            <w:r>
              <w:t xml:space="preserve">Primary School  </w:t>
            </w:r>
          </w:p>
        </w:tc>
      </w:tr>
      <w:tr w:rsidR="009B4124">
        <w:trPr>
          <w:trHeight w:val="600"/>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3" w:firstLine="0"/>
            </w:pPr>
            <w:r>
              <w:t>4</w:t>
            </w:r>
            <w:r w:rsidR="00731D59">
              <w:t>16</w:t>
            </w:r>
            <w:r>
              <w:t xml:space="preserve">  </w:t>
            </w:r>
          </w:p>
        </w:tc>
      </w:tr>
      <w:tr w:rsidR="009B4124">
        <w:trPr>
          <w:trHeight w:val="602"/>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Proportion (%) of pupil premium eligible pupils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3" w:firstLine="0"/>
            </w:pPr>
            <w:r>
              <w:t>3</w:t>
            </w:r>
            <w:r w:rsidR="00731D59">
              <w:t>0</w:t>
            </w:r>
            <w:r>
              <w:t xml:space="preserve">%  </w:t>
            </w:r>
          </w:p>
        </w:tc>
      </w:tr>
      <w:tr w:rsidR="009B4124">
        <w:trPr>
          <w:trHeight w:val="1004"/>
        </w:trPr>
        <w:tc>
          <w:tcPr>
            <w:tcW w:w="6517"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0" w:line="259" w:lineRule="auto"/>
              <w:ind w:left="0" w:firstLine="0"/>
            </w:pPr>
            <w:r>
              <w:t xml:space="preserve">Academic year/years that our current pupil premium strategy plan covers </w:t>
            </w:r>
            <w:r>
              <w:rPr>
                <w:b/>
              </w:rPr>
              <w:t>(</w:t>
            </w:r>
            <w:proofErr w:type="gramStart"/>
            <w:r>
              <w:rPr>
                <w:b/>
              </w:rPr>
              <w:t>3 year</w:t>
            </w:r>
            <w:proofErr w:type="gramEnd"/>
            <w:r>
              <w:rPr>
                <w:b/>
              </w:rPr>
              <w:t xml:space="preserve"> plans are recommended)</w:t>
            </w:r>
            <w:r>
              <w:t xml:space="preserve">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31" w:line="259" w:lineRule="auto"/>
              <w:ind w:left="3" w:firstLine="0"/>
            </w:pPr>
            <w:r>
              <w:t xml:space="preserve">2022/2023 to   </w:t>
            </w:r>
          </w:p>
          <w:p w:rsidR="009B4124" w:rsidRDefault="00ED11D7">
            <w:pPr>
              <w:spacing w:after="0" w:line="259" w:lineRule="auto"/>
              <w:ind w:left="3" w:firstLine="0"/>
            </w:pPr>
            <w:r>
              <w:t xml:space="preserve">2025/2026  </w:t>
            </w:r>
          </w:p>
        </w:tc>
      </w:tr>
      <w:tr w:rsidR="009B4124">
        <w:trPr>
          <w:trHeight w:val="600"/>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Date this statement was first published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731D59">
            <w:pPr>
              <w:spacing w:after="0" w:line="259" w:lineRule="auto"/>
              <w:ind w:left="3" w:firstLine="0"/>
            </w:pPr>
            <w:r>
              <w:t>December 2024</w:t>
            </w:r>
            <w:r w:rsidR="00ED11D7">
              <w:t xml:space="preserve"> </w:t>
            </w:r>
          </w:p>
        </w:tc>
      </w:tr>
      <w:tr w:rsidR="009B4124">
        <w:trPr>
          <w:trHeight w:val="602"/>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Date on which it will be reviewed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731D59">
            <w:pPr>
              <w:spacing w:after="0" w:line="259" w:lineRule="auto"/>
              <w:ind w:left="3" w:firstLine="0"/>
            </w:pPr>
            <w:r>
              <w:t>December 2025</w:t>
            </w:r>
            <w:r w:rsidR="00ED11D7">
              <w:t xml:space="preserve"> </w:t>
            </w:r>
          </w:p>
        </w:tc>
      </w:tr>
      <w:tr w:rsidR="009B4124">
        <w:trPr>
          <w:trHeight w:val="943"/>
        </w:trPr>
        <w:tc>
          <w:tcPr>
            <w:tcW w:w="651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Statement authorised by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3" w:firstLine="0"/>
            </w:pPr>
            <w:r>
              <w:t xml:space="preserve">Kevin Bryant, </w:t>
            </w:r>
          </w:p>
          <w:p w:rsidR="009B4124" w:rsidRDefault="00ED11D7">
            <w:pPr>
              <w:spacing w:after="0" w:line="259" w:lineRule="auto"/>
              <w:ind w:left="3" w:firstLine="0"/>
            </w:pPr>
            <w:r>
              <w:t xml:space="preserve">Headteacher  </w:t>
            </w:r>
          </w:p>
        </w:tc>
      </w:tr>
      <w:tr w:rsidR="009B4124">
        <w:trPr>
          <w:trHeight w:val="1003"/>
        </w:trPr>
        <w:tc>
          <w:tcPr>
            <w:tcW w:w="651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Pupil premium lead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28" w:line="259" w:lineRule="auto"/>
              <w:ind w:left="3" w:firstLine="0"/>
            </w:pPr>
            <w:r>
              <w:t xml:space="preserve">Kevin Bryant,  </w:t>
            </w:r>
          </w:p>
          <w:p w:rsidR="009B4124" w:rsidRDefault="00ED11D7">
            <w:pPr>
              <w:spacing w:after="0" w:line="259" w:lineRule="auto"/>
              <w:ind w:left="3" w:firstLine="0"/>
            </w:pPr>
            <w:r>
              <w:t xml:space="preserve">Headteacher  </w:t>
            </w:r>
          </w:p>
        </w:tc>
      </w:tr>
      <w:tr w:rsidR="009B4124">
        <w:trPr>
          <w:trHeight w:val="1004"/>
        </w:trPr>
        <w:tc>
          <w:tcPr>
            <w:tcW w:w="651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lastRenderedPageBreak/>
              <w:t xml:space="preserve">Governor / Trustee lead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28" w:line="259" w:lineRule="auto"/>
              <w:ind w:left="3" w:firstLine="0"/>
            </w:pPr>
            <w:r>
              <w:t xml:space="preserve">Darren Argrave  </w:t>
            </w:r>
          </w:p>
          <w:p w:rsidR="009B4124" w:rsidRDefault="00ED11D7">
            <w:pPr>
              <w:spacing w:after="0" w:line="259" w:lineRule="auto"/>
              <w:ind w:left="3" w:firstLine="0"/>
            </w:pPr>
            <w:r>
              <w:t xml:space="preserve">  </w:t>
            </w:r>
          </w:p>
        </w:tc>
      </w:tr>
    </w:tbl>
    <w:p w:rsidR="009B4124" w:rsidRDefault="00ED11D7">
      <w:pPr>
        <w:spacing w:after="23" w:line="259" w:lineRule="auto"/>
        <w:ind w:left="1119" w:firstLine="0"/>
      </w:pPr>
      <w:r>
        <w:rPr>
          <w:b/>
          <w:color w:val="76923C"/>
        </w:rPr>
        <w:t xml:space="preserve"> </w:t>
      </w:r>
    </w:p>
    <w:p w:rsidR="009B4124" w:rsidRDefault="00ED11D7">
      <w:pPr>
        <w:spacing w:after="0" w:line="259" w:lineRule="auto"/>
        <w:ind w:left="1133" w:firstLine="0"/>
      </w:pPr>
      <w:r>
        <w:rPr>
          <w:b/>
          <w:color w:val="76923C"/>
        </w:rPr>
        <w:t xml:space="preserve"> </w:t>
      </w:r>
      <w:r>
        <w:rPr>
          <w:b/>
          <w:color w:val="76923C"/>
        </w:rPr>
        <w:tab/>
        <w:t xml:space="preserve"> </w:t>
      </w:r>
    </w:p>
    <w:p w:rsidR="009B4124" w:rsidRDefault="00ED11D7">
      <w:pPr>
        <w:pStyle w:val="Heading1"/>
        <w:spacing w:after="0"/>
        <w:ind w:left="1114"/>
      </w:pPr>
      <w:r>
        <w:t xml:space="preserve">Funding overview </w:t>
      </w:r>
      <w:r>
        <w:rPr>
          <w:b w:val="0"/>
          <w:color w:val="000000"/>
        </w:rPr>
        <w:t xml:space="preserve"> </w:t>
      </w:r>
    </w:p>
    <w:tbl>
      <w:tblPr>
        <w:tblStyle w:val="TableGrid"/>
        <w:tblW w:w="9486" w:type="dxa"/>
        <w:tblInd w:w="1146" w:type="dxa"/>
        <w:tblCellMar>
          <w:top w:w="139" w:type="dxa"/>
          <w:left w:w="164" w:type="dxa"/>
          <w:right w:w="115" w:type="dxa"/>
        </w:tblCellMar>
        <w:tblLook w:val="04A0" w:firstRow="1" w:lastRow="0" w:firstColumn="1" w:lastColumn="0" w:noHBand="0" w:noVBand="1"/>
      </w:tblPr>
      <w:tblGrid>
        <w:gridCol w:w="6517"/>
        <w:gridCol w:w="2969"/>
      </w:tblGrid>
      <w:tr w:rsidR="009B4124">
        <w:trPr>
          <w:trHeight w:val="552"/>
        </w:trPr>
        <w:tc>
          <w:tcPr>
            <w:tcW w:w="6517"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0" w:firstLine="0"/>
            </w:pPr>
            <w:r>
              <w:rPr>
                <w:b/>
              </w:rPr>
              <w:t>Detail</w:t>
            </w:r>
            <w:r>
              <w:t xml:space="preserve">  </w:t>
            </w:r>
          </w:p>
        </w:tc>
        <w:tc>
          <w:tcPr>
            <w:tcW w:w="2969"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3" w:firstLine="0"/>
            </w:pPr>
            <w:r>
              <w:rPr>
                <w:b/>
              </w:rPr>
              <w:t>Amount</w:t>
            </w:r>
            <w:r>
              <w:t xml:space="preserve">  </w:t>
            </w:r>
          </w:p>
        </w:tc>
      </w:tr>
      <w:tr w:rsidR="009B4124">
        <w:trPr>
          <w:trHeight w:val="606"/>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Pupil premium funding allocation this academic year  </w:t>
            </w:r>
          </w:p>
        </w:tc>
        <w:tc>
          <w:tcPr>
            <w:tcW w:w="296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3" w:firstLine="0"/>
            </w:pPr>
            <w:r>
              <w:t>£1</w:t>
            </w:r>
            <w:r w:rsidR="00C00680">
              <w:t>96,445</w:t>
            </w:r>
          </w:p>
        </w:tc>
      </w:tr>
      <w:tr w:rsidR="009B4124">
        <w:trPr>
          <w:trHeight w:val="946"/>
        </w:trPr>
        <w:tc>
          <w:tcPr>
            <w:tcW w:w="6517"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Recovery premium funding allocation this academic year  </w:t>
            </w:r>
          </w:p>
        </w:tc>
        <w:tc>
          <w:tcPr>
            <w:tcW w:w="296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3" w:firstLine="0"/>
            </w:pPr>
            <w:r>
              <w:t>£1</w:t>
            </w:r>
            <w:r w:rsidR="00C00680">
              <w:t>8,560</w:t>
            </w:r>
          </w:p>
        </w:tc>
      </w:tr>
    </w:tbl>
    <w:p w:rsidR="009B4124" w:rsidRDefault="00ED11D7">
      <w:pPr>
        <w:spacing w:after="0" w:line="259" w:lineRule="auto"/>
        <w:ind w:left="0" w:firstLine="0"/>
      </w:pPr>
      <w:r>
        <w:t xml:space="preserve"> </w:t>
      </w:r>
    </w:p>
    <w:tbl>
      <w:tblPr>
        <w:tblStyle w:val="TableGrid"/>
        <w:tblW w:w="9492" w:type="dxa"/>
        <w:tblInd w:w="1143" w:type="dxa"/>
        <w:tblCellMar>
          <w:top w:w="185" w:type="dxa"/>
          <w:left w:w="168" w:type="dxa"/>
          <w:bottom w:w="81" w:type="dxa"/>
          <w:right w:w="79" w:type="dxa"/>
        </w:tblCellMar>
        <w:tblLook w:val="04A0" w:firstRow="1" w:lastRow="0" w:firstColumn="1" w:lastColumn="0" w:noHBand="0" w:noVBand="1"/>
      </w:tblPr>
      <w:tblGrid>
        <w:gridCol w:w="6520"/>
        <w:gridCol w:w="2972"/>
      </w:tblGrid>
      <w:tr w:rsidR="009B4124">
        <w:trPr>
          <w:trHeight w:val="948"/>
        </w:trPr>
        <w:tc>
          <w:tcPr>
            <w:tcW w:w="6519"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t xml:space="preserve">Pupil premium funding carried forward from previous years (enter £0 if not applicable)  </w:t>
            </w:r>
          </w:p>
        </w:tc>
        <w:tc>
          <w:tcPr>
            <w:tcW w:w="297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 w:firstLine="0"/>
            </w:pPr>
            <w:r>
              <w:t>£</w:t>
            </w:r>
            <w:r w:rsidR="00C00680">
              <w:t>0</w:t>
            </w:r>
            <w:r>
              <w:t xml:space="preserve">  </w:t>
            </w:r>
          </w:p>
        </w:tc>
      </w:tr>
      <w:tr w:rsidR="009B4124">
        <w:trPr>
          <w:trHeight w:val="1690"/>
        </w:trPr>
        <w:tc>
          <w:tcPr>
            <w:tcW w:w="6519"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31" w:line="259" w:lineRule="auto"/>
              <w:ind w:left="0" w:firstLine="0"/>
            </w:pPr>
            <w:r>
              <w:rPr>
                <w:b/>
              </w:rPr>
              <w:t xml:space="preserve">Total budget for this academic year </w:t>
            </w:r>
            <w:r>
              <w:t xml:space="preserve"> </w:t>
            </w:r>
          </w:p>
          <w:p w:rsidR="009B4124" w:rsidRDefault="00ED11D7">
            <w:pPr>
              <w:spacing w:after="0" w:line="259" w:lineRule="auto"/>
              <w:ind w:left="0" w:firstLine="0"/>
            </w:pPr>
            <w:r>
              <w:t xml:space="preserve">If your school is an academy in a trust that pools this funding, state the amount available to your school this academic year  </w:t>
            </w:r>
          </w:p>
        </w:tc>
        <w:tc>
          <w:tcPr>
            <w:tcW w:w="297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 w:firstLine="0"/>
            </w:pPr>
            <w:r>
              <w:t>£</w:t>
            </w:r>
            <w:r w:rsidR="00C00680">
              <w:t>215,005</w:t>
            </w:r>
            <w:r>
              <w:t xml:space="preserve">  </w:t>
            </w:r>
          </w:p>
        </w:tc>
      </w:tr>
    </w:tbl>
    <w:p w:rsidR="009B4124" w:rsidRDefault="00ED11D7">
      <w:pPr>
        <w:spacing w:after="296" w:line="259" w:lineRule="auto"/>
        <w:ind w:left="1133" w:firstLine="0"/>
      </w:pPr>
      <w:r>
        <w:t xml:space="preserve"> </w:t>
      </w:r>
    </w:p>
    <w:p w:rsidR="009B4124" w:rsidRDefault="00ED11D7">
      <w:pPr>
        <w:spacing w:after="0" w:line="259" w:lineRule="auto"/>
        <w:ind w:left="0" w:right="6550" w:firstLine="0"/>
        <w:jc w:val="right"/>
      </w:pPr>
      <w:r>
        <w:rPr>
          <w:b/>
          <w:color w:val="76923C"/>
        </w:rPr>
        <w:t xml:space="preserve"> </w:t>
      </w:r>
      <w:r>
        <w:rPr>
          <w:b/>
          <w:color w:val="76923C"/>
        </w:rPr>
        <w:tab/>
        <w:t xml:space="preserve"> </w:t>
      </w:r>
      <w:r>
        <w:br w:type="page"/>
      </w:r>
    </w:p>
    <w:p w:rsidR="00731D59" w:rsidRDefault="00ED11D7" w:rsidP="00731D59">
      <w:pPr>
        <w:spacing w:after="447" w:line="263" w:lineRule="auto"/>
        <w:ind w:left="1114" w:hanging="10"/>
      </w:pPr>
      <w:r>
        <w:rPr>
          <w:b/>
          <w:color w:val="76923C"/>
        </w:rPr>
        <w:lastRenderedPageBreak/>
        <w:t xml:space="preserve">Part A: Pupil premium strategy plan </w:t>
      </w:r>
      <w:r>
        <w:t xml:space="preserve"> </w:t>
      </w:r>
    </w:p>
    <w:tbl>
      <w:tblPr>
        <w:tblStyle w:val="TableGrid"/>
        <w:tblW w:w="9492" w:type="dxa"/>
        <w:tblInd w:w="1143" w:type="dxa"/>
        <w:tblCellMar>
          <w:top w:w="243" w:type="dxa"/>
          <w:left w:w="110" w:type="dxa"/>
          <w:right w:w="58" w:type="dxa"/>
        </w:tblCellMar>
        <w:tblLook w:val="04A0" w:firstRow="1" w:lastRow="0" w:firstColumn="1" w:lastColumn="0" w:noHBand="0" w:noVBand="1"/>
      </w:tblPr>
      <w:tblGrid>
        <w:gridCol w:w="9492"/>
      </w:tblGrid>
      <w:tr w:rsidR="009B4124">
        <w:trPr>
          <w:trHeight w:val="13175"/>
        </w:trPr>
        <w:tc>
          <w:tcPr>
            <w:tcW w:w="9492" w:type="dxa"/>
            <w:tcBorders>
              <w:top w:val="single" w:sz="4" w:space="0" w:color="000000"/>
              <w:left w:val="single" w:sz="4" w:space="0" w:color="000000"/>
              <w:bottom w:val="single" w:sz="4" w:space="0" w:color="000000"/>
              <w:right w:val="single" w:sz="4" w:space="0" w:color="000000"/>
            </w:tcBorders>
          </w:tcPr>
          <w:p w:rsidR="00731D59" w:rsidRDefault="00ED11D7">
            <w:pPr>
              <w:spacing w:after="239"/>
              <w:ind w:left="0" w:right="47" w:firstLine="0"/>
            </w:pPr>
            <w:r>
              <w:t>Statement of intent</w:t>
            </w:r>
            <w:r>
              <w:rPr>
                <w:color w:val="104F75"/>
              </w:rPr>
              <w:t xml:space="preserve"> </w:t>
            </w:r>
            <w:r>
              <w:t xml:space="preserve"> </w:t>
            </w:r>
          </w:p>
          <w:p w:rsidR="009B4124" w:rsidRDefault="00ED11D7">
            <w:pPr>
              <w:spacing w:after="239"/>
              <w:ind w:left="0" w:right="47" w:firstLine="0"/>
            </w:pPr>
            <w:r>
              <w:t xml:space="preserve">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rsidR="009B4124" w:rsidRDefault="00ED11D7">
            <w:pPr>
              <w:spacing w:after="239" w:line="286" w:lineRule="auto"/>
              <w:ind w:left="0" w:firstLine="0"/>
            </w:pPr>
            <w: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rsidR="009B4124" w:rsidRDefault="00ED11D7">
            <w:pPr>
              <w:spacing w:after="239" w:line="286" w:lineRule="auto"/>
              <w:ind w:left="0" w:right="29" w:firstLine="0"/>
            </w:pPr>
            <w: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rsidR="009B4124" w:rsidRDefault="00ED11D7">
            <w:pPr>
              <w:spacing w:after="239"/>
              <w:ind w:left="0" w:firstLine="0"/>
            </w:pPr>
            <w:r>
              <w:t xml:space="preserve">Our strategy is also integral to wider school plans for education recovery for pupils whose education has been worst affected, including non-disadvantaged pupils.      </w:t>
            </w:r>
          </w:p>
          <w:p w:rsidR="009B4124" w:rsidRDefault="00ED11D7">
            <w:pPr>
              <w:spacing w:after="225" w:line="286" w:lineRule="auto"/>
              <w:ind w:left="0" w:firstLine="0"/>
            </w:pPr>
            <w:r>
              <w:t xml:space="preserve">Our approach will be responsive to common challenges and individual needs, rooted in robust diagnostic assessment, not assumptions about the impact of disadvantage. The approaches we have adopted complement each other to help pupils excel. To ensure they are effective we will:  </w:t>
            </w:r>
          </w:p>
          <w:p w:rsidR="009B4124" w:rsidRDefault="00ED11D7">
            <w:pPr>
              <w:numPr>
                <w:ilvl w:val="0"/>
                <w:numId w:val="2"/>
              </w:numPr>
              <w:spacing w:after="105" w:line="259" w:lineRule="auto"/>
              <w:ind w:hanging="360"/>
            </w:pPr>
            <w:r>
              <w:t xml:space="preserve">ensure disadvantaged pupils are challenged in the work that they’re set  </w:t>
            </w:r>
          </w:p>
          <w:p w:rsidR="009B4124" w:rsidRDefault="00ED11D7">
            <w:pPr>
              <w:numPr>
                <w:ilvl w:val="0"/>
                <w:numId w:val="2"/>
              </w:numPr>
              <w:spacing w:after="108" w:line="259" w:lineRule="auto"/>
              <w:ind w:hanging="360"/>
            </w:pPr>
            <w:r>
              <w:t xml:space="preserve">act early to intervene at the point need is identified  </w:t>
            </w:r>
          </w:p>
          <w:p w:rsidR="009B4124" w:rsidRDefault="00ED11D7">
            <w:pPr>
              <w:numPr>
                <w:ilvl w:val="0"/>
                <w:numId w:val="2"/>
              </w:numPr>
              <w:spacing w:after="0" w:line="259" w:lineRule="auto"/>
              <w:ind w:hanging="360"/>
            </w:pPr>
            <w:r>
              <w:t>adopt a whole school approach in which all staff take responsibility for disadvantaged pupils’ outcomes and raise expectations of what they can achieve</w:t>
            </w:r>
            <w:r>
              <w:rPr>
                <w:color w:val="0070C0"/>
              </w:rPr>
              <w:t xml:space="preserve"> </w:t>
            </w:r>
            <w:r>
              <w:t xml:space="preserve"> </w:t>
            </w:r>
          </w:p>
        </w:tc>
      </w:tr>
    </w:tbl>
    <w:p w:rsidR="009B4124" w:rsidRDefault="00ED11D7">
      <w:pPr>
        <w:pStyle w:val="Heading1"/>
        <w:ind w:left="1114"/>
      </w:pPr>
      <w:r>
        <w:lastRenderedPageBreak/>
        <w:t xml:space="preserve">Challenges </w:t>
      </w:r>
      <w:r>
        <w:rPr>
          <w:b w:val="0"/>
          <w:color w:val="000000"/>
        </w:rPr>
        <w:t xml:space="preserve"> </w:t>
      </w:r>
    </w:p>
    <w:p w:rsidR="009B4124" w:rsidRDefault="00ED11D7">
      <w:pPr>
        <w:spacing w:after="0"/>
        <w:ind w:left="1124"/>
      </w:pPr>
      <w:r>
        <w:t>This details the key challenges to achievement that we have identified among our disadvantaged pupils.</w:t>
      </w:r>
      <w:r>
        <w:rPr>
          <w:color w:val="0D0D0D"/>
        </w:rPr>
        <w:t xml:space="preserve"> </w:t>
      </w:r>
      <w:r>
        <w:t xml:space="preserve"> </w:t>
      </w:r>
    </w:p>
    <w:tbl>
      <w:tblPr>
        <w:tblStyle w:val="TableGrid"/>
        <w:tblW w:w="9486" w:type="dxa"/>
        <w:tblInd w:w="1146" w:type="dxa"/>
        <w:tblCellMar>
          <w:top w:w="137" w:type="dxa"/>
          <w:left w:w="164" w:type="dxa"/>
          <w:bottom w:w="57" w:type="dxa"/>
          <w:right w:w="55" w:type="dxa"/>
        </w:tblCellMar>
        <w:tblLook w:val="04A0" w:firstRow="1" w:lastRow="0" w:firstColumn="1" w:lastColumn="0" w:noHBand="0" w:noVBand="1"/>
      </w:tblPr>
      <w:tblGrid>
        <w:gridCol w:w="1475"/>
        <w:gridCol w:w="8011"/>
      </w:tblGrid>
      <w:tr w:rsidR="009B4124">
        <w:trPr>
          <w:trHeight w:val="893"/>
        </w:trPr>
        <w:tc>
          <w:tcPr>
            <w:tcW w:w="1475"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0" w:firstLine="0"/>
            </w:pPr>
            <w:r>
              <w:rPr>
                <w:b/>
                <w:color w:val="0D0D0D"/>
              </w:rPr>
              <w:t xml:space="preserve">Challenge number </w:t>
            </w:r>
            <w:r>
              <w:t xml:space="preserve"> </w:t>
            </w:r>
          </w:p>
        </w:tc>
        <w:tc>
          <w:tcPr>
            <w:tcW w:w="8011"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1" w:firstLine="0"/>
            </w:pPr>
            <w:r>
              <w:rPr>
                <w:b/>
                <w:color w:val="0D0D0D"/>
              </w:rPr>
              <w:t xml:space="preserve">Detail of challenge  </w:t>
            </w:r>
            <w:r>
              <w:t xml:space="preserve"> </w:t>
            </w:r>
          </w:p>
        </w:tc>
      </w:tr>
      <w:tr w:rsidR="009B4124">
        <w:trPr>
          <w:trHeight w:val="2030"/>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1</w:t>
            </w:r>
            <w:r>
              <w:rPr>
                <w:color w:val="0D0D0D"/>
              </w:rPr>
              <w:t xml:space="preserve"> </w:t>
            </w:r>
            <w:r>
              <w:t xml:space="preserve">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0" w:line="259" w:lineRule="auto"/>
              <w:ind w:left="1" w:firstLine="0"/>
            </w:pPr>
            <w:r>
              <w:t xml:space="preserve">Assessments, observations, and discussions with pupils indicate underdeveloped oral language skills and vocabulary gaps among many disadvantaged pupils. These are evident from Reception through to KS2 and in general, are more prevalent among our disadvantaged pupils than their peers.  </w:t>
            </w:r>
          </w:p>
        </w:tc>
      </w:tr>
      <w:tr w:rsidR="009B4124">
        <w:trPr>
          <w:trHeight w:val="1687"/>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2</w:t>
            </w:r>
            <w:r>
              <w:rPr>
                <w:color w:val="0D0D0D"/>
              </w:rPr>
              <w:t xml:space="preserve"> </w:t>
            </w:r>
            <w:r>
              <w:t xml:space="preserve">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0" w:line="259" w:lineRule="auto"/>
              <w:ind w:left="1" w:right="19" w:firstLine="0"/>
            </w:pPr>
            <w:r>
              <w:t xml:space="preserve">Assessments, observations, and discussions with pupils suggest disadvantaged pupils generally have greater difficulties with phonics than their peers. This negatively impacts their development as readers.   </w:t>
            </w:r>
          </w:p>
        </w:tc>
      </w:tr>
      <w:tr w:rsidR="009B4124">
        <w:trPr>
          <w:trHeight w:val="2489"/>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3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123" w:line="239" w:lineRule="auto"/>
              <w:ind w:left="1" w:firstLine="0"/>
            </w:pPr>
            <w:r>
              <w:t xml:space="preserve">Internal assessments indicate that writing attainment among disadvantaged pupils is significantly below that of </w:t>
            </w:r>
            <w:proofErr w:type="spellStart"/>
            <w:r>
              <w:t>nondisadvantaged</w:t>
            </w:r>
            <w:proofErr w:type="spellEnd"/>
            <w:r>
              <w:t xml:space="preserve"> pupils.   </w:t>
            </w:r>
          </w:p>
          <w:p w:rsidR="009B4124" w:rsidRDefault="00ED11D7">
            <w:pPr>
              <w:spacing w:after="0" w:line="259" w:lineRule="auto"/>
              <w:ind w:left="1" w:firstLine="0"/>
            </w:pPr>
            <w:r>
              <w:t xml:space="preserve">On entry to Reception class last year, 60% of our disadvantaged pupils arrive below age-related expectations compared to 47% of other pupils.   </w:t>
            </w:r>
          </w:p>
        </w:tc>
      </w:tr>
      <w:tr w:rsidR="009B4124">
        <w:trPr>
          <w:trHeight w:val="2835"/>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rPr>
                <w:color w:val="0D0D0D"/>
              </w:rPr>
              <w:t xml:space="preserve">4 </w:t>
            </w:r>
            <w:r>
              <w:t xml:space="preserve">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120" w:line="239" w:lineRule="auto"/>
              <w:ind w:left="1" w:firstLine="0"/>
            </w:pPr>
            <w:r>
              <w:t xml:space="preserve">Our assessments and observations indicate that the education and wellbeing of many of our disadvantaged pupils have been impacted by partial school closures to a greater extent than for other pupils. These findings are supported by national studies.   </w:t>
            </w:r>
          </w:p>
          <w:p w:rsidR="009B4124" w:rsidRDefault="00ED11D7">
            <w:pPr>
              <w:spacing w:after="0" w:line="259" w:lineRule="auto"/>
              <w:ind w:left="1" w:firstLine="0"/>
            </w:pPr>
            <w:r>
              <w:t xml:space="preserve">This has resulted in significant knowledge gaps leading to pupils falling further behind age-related expectations, especially in writing and maths.  </w:t>
            </w:r>
          </w:p>
        </w:tc>
      </w:tr>
      <w:tr w:rsidR="009B4124">
        <w:trPr>
          <w:trHeight w:val="3293"/>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rPr>
                <w:color w:val="0D0D0D"/>
              </w:rPr>
              <w:lastRenderedPageBreak/>
              <w:t xml:space="preserve">5 </w:t>
            </w:r>
            <w:r>
              <w:t xml:space="preserve">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245" w:line="239" w:lineRule="auto"/>
              <w:ind w:left="0" w:firstLine="0"/>
            </w:pPr>
            <w:r>
              <w:t xml:space="preserve">Our assessments (including wellbeing survey), observations and discussions with pupils and families have identified social and emotional issues for many pupils due to a lack of enrichment opportunities during school closure. These challenges particularly affect disadvantaged pupils, including their attainment.  </w:t>
            </w:r>
          </w:p>
          <w:p w:rsidR="009B4124" w:rsidRDefault="009B4124">
            <w:pPr>
              <w:spacing w:after="0" w:line="259" w:lineRule="auto"/>
              <w:ind w:left="0" w:firstLine="0"/>
            </w:pPr>
          </w:p>
        </w:tc>
      </w:tr>
      <w:tr w:rsidR="009B4124">
        <w:trPr>
          <w:trHeight w:val="2835"/>
        </w:trPr>
        <w:tc>
          <w:tcPr>
            <w:tcW w:w="1475"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2" w:firstLine="0"/>
            </w:pPr>
            <w:r>
              <w:rPr>
                <w:color w:val="0D0D0D"/>
              </w:rPr>
              <w:t xml:space="preserve">6 </w:t>
            </w:r>
            <w:r>
              <w:t xml:space="preserve"> </w:t>
            </w:r>
          </w:p>
        </w:tc>
        <w:tc>
          <w:tcPr>
            <w:tcW w:w="8011"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122" w:line="239" w:lineRule="auto"/>
              <w:ind w:left="0" w:firstLine="0"/>
            </w:pPr>
            <w:r>
              <w:t xml:space="preserve">Our attendance data during the year </w:t>
            </w:r>
            <w:r w:rsidR="00731D59">
              <w:t>2023</w:t>
            </w:r>
            <w:r>
              <w:t>-</w:t>
            </w:r>
            <w:r w:rsidR="00731D59">
              <w:t>2024</w:t>
            </w:r>
            <w:r>
              <w:t xml:space="preserve"> indicates that attendance among disadvantaged pupils has been 2.8% lower than for non-disadvantaged pupils.  </w:t>
            </w:r>
          </w:p>
          <w:p w:rsidR="009B4124" w:rsidRDefault="00ED11D7">
            <w:pPr>
              <w:spacing w:after="0" w:line="259" w:lineRule="auto"/>
              <w:ind w:left="0" w:firstLine="0"/>
            </w:pPr>
            <w:r w:rsidRPr="00C00680">
              <w:t>25</w:t>
            </w:r>
            <w:r>
              <w:t xml:space="preserve">% of disadvantaged pupils have been ‘persistently absent’ compared to </w:t>
            </w:r>
            <w:r w:rsidRPr="00C00680">
              <w:t>10</w:t>
            </w:r>
            <w:bookmarkStart w:id="0" w:name="_GoBack"/>
            <w:bookmarkEnd w:id="0"/>
            <w:r>
              <w:t xml:space="preserve">% of their peers during that period. Our assessments and observations indicate that absenteeism is negatively impacting disadvantaged pupils’ progress.  </w:t>
            </w:r>
          </w:p>
        </w:tc>
      </w:tr>
    </w:tbl>
    <w:p w:rsidR="009B4124" w:rsidRDefault="00ED11D7">
      <w:pPr>
        <w:spacing w:after="213" w:line="259" w:lineRule="auto"/>
        <w:ind w:left="1119" w:firstLine="0"/>
      </w:pPr>
      <w:r>
        <w:rPr>
          <w:b/>
          <w:color w:val="76923C"/>
        </w:rPr>
        <w:t xml:space="preserve"> </w:t>
      </w:r>
    </w:p>
    <w:p w:rsidR="009B4124" w:rsidRDefault="00ED11D7">
      <w:pPr>
        <w:pStyle w:val="Heading1"/>
        <w:ind w:left="1114"/>
      </w:pPr>
      <w:r>
        <w:t xml:space="preserve">Intended outcomes  </w:t>
      </w:r>
      <w:r>
        <w:rPr>
          <w:b w:val="0"/>
          <w:color w:val="000000"/>
        </w:rPr>
        <w:t xml:space="preserve"> </w:t>
      </w:r>
    </w:p>
    <w:p w:rsidR="009B4124" w:rsidRDefault="00ED11D7">
      <w:pPr>
        <w:spacing w:after="0"/>
        <w:ind w:left="1124"/>
      </w:pPr>
      <w:r>
        <w:t xml:space="preserve">This explains the outcomes we are aiming for </w:t>
      </w:r>
      <w:r>
        <w:rPr>
          <w:b/>
        </w:rPr>
        <w:t>by the end of our current strategy plan</w:t>
      </w:r>
      <w:r>
        <w:t>, and how we will measure whether they have been achieved.</w:t>
      </w:r>
      <w:r>
        <w:rPr>
          <w:color w:val="0D0D0D"/>
        </w:rPr>
        <w:t xml:space="preserve"> </w:t>
      </w:r>
      <w:r>
        <w:t xml:space="preserve"> </w:t>
      </w:r>
    </w:p>
    <w:tbl>
      <w:tblPr>
        <w:tblStyle w:val="TableGrid"/>
        <w:tblW w:w="9487" w:type="dxa"/>
        <w:tblInd w:w="1146" w:type="dxa"/>
        <w:tblCellMar>
          <w:top w:w="103" w:type="dxa"/>
          <w:left w:w="108" w:type="dxa"/>
          <w:right w:w="6" w:type="dxa"/>
        </w:tblCellMar>
        <w:tblLook w:val="04A0" w:firstRow="1" w:lastRow="0" w:firstColumn="1" w:lastColumn="0" w:noHBand="0" w:noVBand="1"/>
      </w:tblPr>
      <w:tblGrid>
        <w:gridCol w:w="2829"/>
        <w:gridCol w:w="6658"/>
      </w:tblGrid>
      <w:tr w:rsidR="009B4124">
        <w:trPr>
          <w:trHeight w:val="519"/>
        </w:trPr>
        <w:tc>
          <w:tcPr>
            <w:tcW w:w="2829"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56" w:firstLine="0"/>
            </w:pPr>
            <w:r>
              <w:rPr>
                <w:b/>
                <w:color w:val="0D0D0D"/>
              </w:rPr>
              <w:t xml:space="preserve">Intended outcome </w:t>
            </w:r>
            <w:r>
              <w:t xml:space="preserve"> </w:t>
            </w:r>
          </w:p>
        </w:tc>
        <w:tc>
          <w:tcPr>
            <w:tcW w:w="6658" w:type="dxa"/>
            <w:tcBorders>
              <w:top w:val="single" w:sz="4" w:space="0" w:color="000000"/>
              <w:left w:val="single" w:sz="4" w:space="0" w:color="000000"/>
              <w:bottom w:val="single" w:sz="4" w:space="0" w:color="000000"/>
              <w:right w:val="single" w:sz="4" w:space="0" w:color="000000"/>
            </w:tcBorders>
            <w:shd w:val="clear" w:color="auto" w:fill="C2D69B"/>
            <w:vAlign w:val="center"/>
          </w:tcPr>
          <w:p w:rsidR="009B4124" w:rsidRDefault="00ED11D7">
            <w:pPr>
              <w:spacing w:after="0" w:line="259" w:lineRule="auto"/>
              <w:ind w:left="58" w:firstLine="0"/>
            </w:pPr>
            <w:r>
              <w:rPr>
                <w:b/>
                <w:color w:val="0D0D0D"/>
              </w:rPr>
              <w:t xml:space="preserve">Success criteria </w:t>
            </w:r>
            <w:r>
              <w:t xml:space="preserve"> </w:t>
            </w:r>
          </w:p>
        </w:tc>
      </w:tr>
      <w:tr w:rsidR="009B4124">
        <w:trPr>
          <w:trHeight w:val="1974"/>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6" w:firstLine="0"/>
            </w:pPr>
            <w:r>
              <w:t xml:space="preserve">Improved oral language skills and vocabulary among disadvantaged pupils.   </w:t>
            </w:r>
          </w:p>
        </w:tc>
        <w:tc>
          <w:tcPr>
            <w:tcW w:w="665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pPr>
            <w:r>
              <w:t xml:space="preserve">Assessments and observations indicate significantly improved oral language among disadvantaged pupils. This is evident when triangulated with other sources of evidence, including engagement in lessons, book scrutiny and ongoing formative assessment.  </w:t>
            </w:r>
          </w:p>
        </w:tc>
      </w:tr>
      <w:tr w:rsidR="009B4124">
        <w:trPr>
          <w:trHeight w:val="1287"/>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28" w:firstLine="0"/>
            </w:pPr>
            <w:r>
              <w:t xml:space="preserve">Improved reading attainment among disadvantaged pupils.   </w:t>
            </w:r>
          </w:p>
        </w:tc>
        <w:tc>
          <w:tcPr>
            <w:tcW w:w="665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pPr>
            <w:r>
              <w:t xml:space="preserve">KS2 reading outcomes in 2024/25 show that more than  </w:t>
            </w:r>
          </w:p>
          <w:p w:rsidR="009B4124" w:rsidRDefault="00ED11D7">
            <w:pPr>
              <w:spacing w:after="0" w:line="259" w:lineRule="auto"/>
              <w:ind w:left="58" w:right="29" w:firstLine="0"/>
            </w:pPr>
            <w:r>
              <w:t xml:space="preserve">85% of disadvantaged pupils met the expected standard.  </w:t>
            </w:r>
          </w:p>
        </w:tc>
      </w:tr>
      <w:tr w:rsidR="009B4124">
        <w:trPr>
          <w:trHeight w:val="1692"/>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28" w:firstLine="0"/>
            </w:pPr>
            <w:r>
              <w:lastRenderedPageBreak/>
              <w:t xml:space="preserve">Improved maths attainment for disadvantaged pupils at the end of KS2.   </w:t>
            </w:r>
          </w:p>
        </w:tc>
        <w:tc>
          <w:tcPr>
            <w:tcW w:w="6658"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126" w:line="238" w:lineRule="auto"/>
              <w:ind w:left="58" w:right="29" w:firstLine="0"/>
            </w:pPr>
            <w:r>
              <w:t>KS2 maths outcomes in 2024/25 show that more than 8</w:t>
            </w:r>
            <w:r>
              <w:rPr>
                <w:color w:val="0D0D0D"/>
              </w:rPr>
              <w:t>5</w:t>
            </w:r>
            <w:r>
              <w:t xml:space="preserve">% of disadvantaged pupils met the expected standard.  </w:t>
            </w:r>
          </w:p>
          <w:p w:rsidR="009B4124" w:rsidRDefault="00ED11D7">
            <w:pPr>
              <w:spacing w:after="0" w:line="259" w:lineRule="auto"/>
              <w:ind w:left="0" w:firstLine="0"/>
            </w:pPr>
            <w:r>
              <w:t xml:space="preserve">  </w:t>
            </w:r>
          </w:p>
        </w:tc>
      </w:tr>
      <w:tr w:rsidR="009B4124">
        <w:trPr>
          <w:trHeight w:val="2525"/>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29" w:right="26" w:firstLine="0"/>
            </w:pPr>
            <w:r>
              <w:t xml:space="preserve">To achieve and sustain improved wellbeing for all pupils in our school, particularly our disadvantaged pupils.  </w:t>
            </w:r>
          </w:p>
        </w:tc>
        <w:tc>
          <w:tcPr>
            <w:tcW w:w="6658" w:type="dxa"/>
            <w:tcBorders>
              <w:top w:val="single" w:sz="4" w:space="0" w:color="000000"/>
              <w:left w:val="single" w:sz="4" w:space="0" w:color="000000"/>
              <w:bottom w:val="single" w:sz="4" w:space="0" w:color="000000"/>
              <w:right w:val="single" w:sz="4" w:space="0" w:color="000000"/>
            </w:tcBorders>
          </w:tcPr>
          <w:p w:rsidR="009B4124" w:rsidRDefault="00ED11D7">
            <w:pPr>
              <w:spacing w:after="153" w:line="242" w:lineRule="auto"/>
              <w:ind w:left="34" w:firstLine="0"/>
            </w:pPr>
            <w:r>
              <w:t xml:space="preserve">Sustained high levels of wellbeing from 2024/25 demonstrated by:  </w:t>
            </w:r>
          </w:p>
          <w:p w:rsidR="009B4124" w:rsidRDefault="00ED11D7">
            <w:pPr>
              <w:numPr>
                <w:ilvl w:val="0"/>
                <w:numId w:val="3"/>
              </w:numPr>
              <w:spacing w:after="225" w:line="239" w:lineRule="auto"/>
              <w:ind w:hanging="355"/>
            </w:pPr>
            <w:r>
              <w:t xml:space="preserve">qualitative data from student voice, student and parent surveys and teacher observations  </w:t>
            </w:r>
          </w:p>
          <w:p w:rsidR="009B4124" w:rsidRDefault="00ED11D7">
            <w:pPr>
              <w:numPr>
                <w:ilvl w:val="0"/>
                <w:numId w:val="3"/>
              </w:numPr>
              <w:spacing w:after="0" w:line="259" w:lineRule="auto"/>
              <w:ind w:hanging="355"/>
            </w:pPr>
            <w:r>
              <w:t xml:space="preserve">a significant increase in participation in enrichment activities, particularly among disadvantaged pupils      </w:t>
            </w:r>
          </w:p>
        </w:tc>
      </w:tr>
      <w:tr w:rsidR="009B4124">
        <w:trPr>
          <w:trHeight w:val="1548"/>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29" w:firstLine="0"/>
            </w:pPr>
            <w:r>
              <w:t xml:space="preserve">To achieve and sustain </w:t>
            </w:r>
          </w:p>
          <w:p w:rsidR="009B4124" w:rsidRDefault="00ED11D7">
            <w:pPr>
              <w:spacing w:after="0" w:line="259" w:lineRule="auto"/>
              <w:ind w:left="29" w:firstLine="0"/>
            </w:pPr>
            <w:r>
              <w:t xml:space="preserve">improved attendance </w:t>
            </w:r>
          </w:p>
          <w:p w:rsidR="009B4124" w:rsidRDefault="00ED11D7">
            <w:pPr>
              <w:spacing w:after="0" w:line="259" w:lineRule="auto"/>
              <w:ind w:left="29" w:firstLine="0"/>
            </w:pPr>
            <w:r>
              <w:t xml:space="preserve">for all pupils, particularly  </w:t>
            </w:r>
          </w:p>
        </w:tc>
        <w:tc>
          <w:tcPr>
            <w:tcW w:w="665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jc w:val="both"/>
            </w:pPr>
            <w:r>
              <w:t xml:space="preserve">Sustained high attendance from 2024/25 demonstrated by:  </w:t>
            </w:r>
          </w:p>
        </w:tc>
      </w:tr>
      <w:tr w:rsidR="009B4124">
        <w:trPr>
          <w:trHeight w:val="2972"/>
        </w:trPr>
        <w:tc>
          <w:tcPr>
            <w:tcW w:w="2829"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our disadvantaged pupils.  </w:t>
            </w:r>
          </w:p>
        </w:tc>
        <w:tc>
          <w:tcPr>
            <w:tcW w:w="6658" w:type="dxa"/>
            <w:tcBorders>
              <w:top w:val="single" w:sz="4" w:space="0" w:color="000000"/>
              <w:left w:val="single" w:sz="4" w:space="0" w:color="000000"/>
              <w:bottom w:val="single" w:sz="4" w:space="0" w:color="000000"/>
              <w:right w:val="single" w:sz="4" w:space="0" w:color="000000"/>
            </w:tcBorders>
          </w:tcPr>
          <w:p w:rsidR="009B4124" w:rsidRDefault="00ED11D7">
            <w:pPr>
              <w:numPr>
                <w:ilvl w:val="0"/>
                <w:numId w:val="4"/>
              </w:numPr>
              <w:spacing w:after="103" w:line="239" w:lineRule="auto"/>
              <w:ind w:hanging="360"/>
            </w:pPr>
            <w:r>
              <w:t xml:space="preserve">the overall absence rate for all pupils being no more than 4%, and the attendance gap between disadvantaged pupils and their non-disadvantaged peers being reduced by 2%.  </w:t>
            </w:r>
          </w:p>
          <w:p w:rsidR="009B4124" w:rsidRDefault="00ED11D7">
            <w:pPr>
              <w:numPr>
                <w:ilvl w:val="0"/>
                <w:numId w:val="4"/>
              </w:numPr>
              <w:spacing w:after="0" w:line="259" w:lineRule="auto"/>
              <w:ind w:hanging="360"/>
            </w:pPr>
            <w:r>
              <w:t xml:space="preserve">the percentage of all pupils who are persistently absent being below </w:t>
            </w:r>
            <w:r w:rsidRPr="00731D59">
              <w:rPr>
                <w:highlight w:val="yellow"/>
              </w:rPr>
              <w:t>8</w:t>
            </w:r>
            <w:r>
              <w:t xml:space="preserve">% and the figure among disadvantaged pupils being no more than </w:t>
            </w:r>
            <w:r w:rsidRPr="00731D59">
              <w:rPr>
                <w:highlight w:val="yellow"/>
              </w:rPr>
              <w:t>5</w:t>
            </w:r>
            <w:r>
              <w:t xml:space="preserve">% lower than their peers.  </w:t>
            </w:r>
          </w:p>
        </w:tc>
      </w:tr>
    </w:tbl>
    <w:p w:rsidR="009B4124" w:rsidRDefault="00ED11D7">
      <w:pPr>
        <w:spacing w:after="0" w:line="259" w:lineRule="auto"/>
        <w:ind w:left="1133" w:firstLine="0"/>
        <w:jc w:val="both"/>
      </w:pPr>
      <w:r>
        <w:rPr>
          <w:color w:val="0D0D0D"/>
        </w:rPr>
        <w:t xml:space="preserve">  </w:t>
      </w:r>
      <w:r>
        <w:rPr>
          <w:color w:val="0D0D0D"/>
        </w:rPr>
        <w:tab/>
      </w:r>
      <w:r>
        <w:rPr>
          <w:b/>
          <w:color w:val="104F75"/>
        </w:rPr>
        <w:t xml:space="preserve"> </w:t>
      </w:r>
      <w:r>
        <w:t xml:space="preserve"> </w:t>
      </w:r>
      <w:r>
        <w:tab/>
        <w:t xml:space="preserve"> </w:t>
      </w:r>
    </w:p>
    <w:p w:rsidR="009B4124" w:rsidRDefault="00ED11D7">
      <w:pPr>
        <w:pStyle w:val="Heading1"/>
        <w:ind w:left="1114"/>
      </w:pPr>
      <w:r>
        <w:t xml:space="preserve">Activity in this academic year </w:t>
      </w:r>
      <w:r>
        <w:rPr>
          <w:b w:val="0"/>
          <w:color w:val="000000"/>
        </w:rPr>
        <w:t xml:space="preserve"> </w:t>
      </w:r>
    </w:p>
    <w:p w:rsidR="009B4124" w:rsidRDefault="00ED11D7">
      <w:pPr>
        <w:spacing w:after="510" w:line="258" w:lineRule="auto"/>
        <w:ind w:left="1114" w:hanging="10"/>
      </w:pPr>
      <w:r>
        <w:rPr>
          <w:color w:val="0D0D0D"/>
        </w:rPr>
        <w:t xml:space="preserve">This details how we intend to spend our pupil premium (and recovery premium funding) </w:t>
      </w:r>
      <w:r>
        <w:rPr>
          <w:b/>
          <w:color w:val="0D0D0D"/>
        </w:rPr>
        <w:t>this academic year</w:t>
      </w:r>
      <w:r>
        <w:rPr>
          <w:color w:val="0D0D0D"/>
        </w:rPr>
        <w:t xml:space="preserve"> to address the challenges listed above. </w:t>
      </w:r>
      <w:r>
        <w:t xml:space="preserve"> </w:t>
      </w:r>
    </w:p>
    <w:p w:rsidR="009B4124" w:rsidRDefault="00ED11D7">
      <w:pPr>
        <w:pStyle w:val="Heading1"/>
        <w:ind w:left="1114"/>
      </w:pPr>
      <w:r>
        <w:t xml:space="preserve">Teaching (for example, CPD, recruitment and retention) </w:t>
      </w:r>
      <w:r>
        <w:rPr>
          <w:b w:val="0"/>
          <w:color w:val="000000"/>
        </w:rPr>
        <w:t xml:space="preserve"> </w:t>
      </w:r>
    </w:p>
    <w:p w:rsidR="009B4124" w:rsidRDefault="00ED11D7">
      <w:pPr>
        <w:spacing w:after="3" w:line="258" w:lineRule="auto"/>
        <w:ind w:left="1114" w:hanging="10"/>
      </w:pPr>
      <w:r>
        <w:rPr>
          <w:color w:val="0D0D0D"/>
        </w:rPr>
        <w:t xml:space="preserve">Budgeted cost: </w:t>
      </w:r>
      <w:r>
        <w:rPr>
          <w:b/>
        </w:rPr>
        <w:t>£</w:t>
      </w:r>
      <w:r w:rsidR="00C00680" w:rsidRPr="00C00680">
        <w:rPr>
          <w:b/>
        </w:rPr>
        <w:t>40,000</w:t>
      </w:r>
      <w:r>
        <w:rPr>
          <w:color w:val="0070C0"/>
        </w:rPr>
        <w:t xml:space="preserve"> </w:t>
      </w:r>
      <w:r>
        <w:t xml:space="preserve"> </w:t>
      </w:r>
    </w:p>
    <w:tbl>
      <w:tblPr>
        <w:tblStyle w:val="TableGrid"/>
        <w:tblW w:w="9487" w:type="dxa"/>
        <w:tblInd w:w="1146" w:type="dxa"/>
        <w:tblCellMar>
          <w:top w:w="103" w:type="dxa"/>
          <w:right w:w="19" w:type="dxa"/>
        </w:tblCellMar>
        <w:tblLook w:val="04A0" w:firstRow="1" w:lastRow="0" w:firstColumn="1" w:lastColumn="0" w:noHBand="0" w:noVBand="1"/>
      </w:tblPr>
      <w:tblGrid>
        <w:gridCol w:w="3397"/>
        <w:gridCol w:w="4538"/>
        <w:gridCol w:w="1552"/>
      </w:tblGrid>
      <w:tr w:rsidR="009B4124" w:rsidTr="00731D59">
        <w:trPr>
          <w:trHeight w:val="1201"/>
        </w:trPr>
        <w:tc>
          <w:tcPr>
            <w:tcW w:w="3397"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138" w:firstLine="0"/>
            </w:pPr>
            <w:r>
              <w:rPr>
                <w:b/>
                <w:color w:val="0D0D0D"/>
              </w:rPr>
              <w:t xml:space="preserve">Activity </w:t>
            </w:r>
            <w:r>
              <w:t xml:space="preserve"> </w:t>
            </w:r>
          </w:p>
        </w:tc>
        <w:tc>
          <w:tcPr>
            <w:tcW w:w="4538"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138" w:firstLine="0"/>
            </w:pPr>
            <w:r>
              <w:rPr>
                <w:b/>
                <w:color w:val="0D0D0D"/>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139" w:hanging="158"/>
            </w:pPr>
            <w:r>
              <w:t xml:space="preserve"> </w:t>
            </w:r>
            <w:r>
              <w:rPr>
                <w:b/>
                <w:color w:val="0D0D0D"/>
              </w:rPr>
              <w:t xml:space="preserve">Challenge number(s) addressed </w:t>
            </w:r>
            <w:r>
              <w:t xml:space="preserve"> </w:t>
            </w:r>
          </w:p>
        </w:tc>
      </w:tr>
      <w:tr w:rsidR="009B4124" w:rsidTr="00731D59">
        <w:trPr>
          <w:trHeight w:val="1977"/>
        </w:trPr>
        <w:tc>
          <w:tcPr>
            <w:tcW w:w="339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09" w:firstLine="0"/>
            </w:pPr>
            <w:r>
              <w:lastRenderedPageBreak/>
              <w:t xml:space="preserve">Engage with parents to enable them to effectively support children’s learning at home.  </w:t>
            </w:r>
          </w:p>
        </w:tc>
        <w:tc>
          <w:tcPr>
            <w:tcW w:w="453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8" w:right="12" w:firstLine="0"/>
            </w:pPr>
            <w:r>
              <w:t xml:space="preserve">Improved home engagement can improve progress for children by up to +3 months per year.  EEF Working with parents to support children’s learning  </w:t>
            </w:r>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9" w:firstLine="0"/>
            </w:pPr>
            <w:r>
              <w:t xml:space="preserve">1  </w:t>
            </w:r>
          </w:p>
        </w:tc>
      </w:tr>
      <w:tr w:rsidR="009B4124" w:rsidTr="00731D59">
        <w:trPr>
          <w:trHeight w:val="3802"/>
        </w:trPr>
        <w:tc>
          <w:tcPr>
            <w:tcW w:w="339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09" w:firstLine="0"/>
            </w:pPr>
            <w:r>
              <w:t xml:space="preserve">Employment of a Pastoral staff to give advice to parents and signpost in order to keep home situations settled and calm for children and therefore engaging.  They will also support parents in supporting their children’s learning.  </w:t>
            </w:r>
          </w:p>
        </w:tc>
        <w:tc>
          <w:tcPr>
            <w:tcW w:w="453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8" w:right="12" w:firstLine="0"/>
            </w:pPr>
            <w:r>
              <w:t xml:space="preserve">Improved home engagement can improve progress for children by up to +3 months per year.  EEF Working with parents to support children’s learning  </w:t>
            </w:r>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9" w:firstLine="0"/>
            </w:pPr>
            <w:r>
              <w:t xml:space="preserve">1  </w:t>
            </w:r>
          </w:p>
        </w:tc>
      </w:tr>
      <w:tr w:rsidR="009B4124" w:rsidTr="00731D59">
        <w:trPr>
          <w:trHeight w:val="2595"/>
        </w:trPr>
        <w:tc>
          <w:tcPr>
            <w:tcW w:w="3397" w:type="dxa"/>
            <w:tcBorders>
              <w:top w:val="single" w:sz="4" w:space="0" w:color="000000"/>
              <w:left w:val="single" w:sz="4" w:space="0" w:color="000000"/>
              <w:bottom w:val="single" w:sz="4" w:space="0" w:color="000000"/>
              <w:right w:val="single" w:sz="4" w:space="0" w:color="000000"/>
            </w:tcBorders>
          </w:tcPr>
          <w:p w:rsidR="009B4124" w:rsidRDefault="00731D59">
            <w:pPr>
              <w:spacing w:after="0" w:line="259" w:lineRule="auto"/>
              <w:ind w:left="109" w:firstLine="0"/>
            </w:pPr>
            <w:r>
              <w:t>Continue to p</w:t>
            </w:r>
            <w:r w:rsidR="00ED11D7">
              <w:t xml:space="preserve">urchase </w:t>
            </w:r>
            <w:r>
              <w:t>resources and CPD to support our</w:t>
            </w:r>
            <w:r w:rsidR="00ED11D7">
              <w:t xml:space="preserve"> </w:t>
            </w:r>
            <w:hyperlink r:id="rId8">
              <w:r w:rsidR="00ED11D7">
                <w:t>DfE val</w:t>
              </w:r>
            </w:hyperlink>
            <w:hyperlink r:id="rId9">
              <w:r w:rsidR="00ED11D7">
                <w:t xml:space="preserve">idated </w:t>
              </w:r>
            </w:hyperlink>
          </w:p>
          <w:p w:rsidR="009B4124" w:rsidRDefault="00F021FD">
            <w:pPr>
              <w:spacing w:after="0" w:line="259" w:lineRule="auto"/>
              <w:ind w:left="109" w:firstLine="0"/>
            </w:pPr>
            <w:hyperlink r:id="rId10">
              <w:r w:rsidR="00ED11D7">
                <w:t xml:space="preserve">Systematic Synthetic </w:t>
              </w:r>
            </w:hyperlink>
            <w:hyperlink r:id="rId11">
              <w:r w:rsidR="00ED11D7">
                <w:t>Phonics programm</w:t>
              </w:r>
            </w:hyperlink>
            <w:hyperlink r:id="rId12">
              <w:r w:rsidR="00ED11D7">
                <w:t>e</w:t>
              </w:r>
            </w:hyperlink>
            <w:hyperlink r:id="rId13">
              <w:r w:rsidR="00ED11D7">
                <w:t xml:space="preserve"> </w:t>
              </w:r>
            </w:hyperlink>
            <w:hyperlink r:id="rId14">
              <w:r w:rsidR="00ED11D7">
                <w:t>t</w:t>
              </w:r>
            </w:hyperlink>
            <w:r w:rsidR="00ED11D7">
              <w:t xml:space="preserve">o secure stronger phonics teaching for all pupils.  </w:t>
            </w:r>
          </w:p>
        </w:tc>
        <w:tc>
          <w:tcPr>
            <w:tcW w:w="4538"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8" w:firstLine="0"/>
            </w:pPr>
            <w:r>
              <w:t xml:space="preserve">Phonics approaches have a strong evidence base that indicates a positive impact on the accuracy of word reading (though not necessarily comprehension), particularly for disadvantaged pupils:   </w:t>
            </w:r>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139" w:firstLine="0"/>
            </w:pPr>
            <w:r>
              <w:t xml:space="preserve">2  </w:t>
            </w:r>
          </w:p>
        </w:tc>
      </w:tr>
      <w:tr w:rsidR="009B4124" w:rsidTr="00731D59">
        <w:trPr>
          <w:trHeight w:val="4414"/>
        </w:trPr>
        <w:tc>
          <w:tcPr>
            <w:tcW w:w="3397" w:type="dxa"/>
            <w:tcBorders>
              <w:top w:val="single" w:sz="4" w:space="0" w:color="000000"/>
              <w:left w:val="single" w:sz="4" w:space="0" w:color="000000"/>
              <w:bottom w:val="single" w:sz="4" w:space="0" w:color="000000"/>
              <w:right w:val="single" w:sz="4" w:space="0" w:color="000000"/>
            </w:tcBorders>
          </w:tcPr>
          <w:p w:rsidR="009B4124" w:rsidRDefault="00ED11D7">
            <w:pPr>
              <w:spacing w:after="2" w:line="239" w:lineRule="auto"/>
              <w:ind w:left="29" w:firstLine="0"/>
            </w:pPr>
            <w:r>
              <w:t xml:space="preserve">Improve the quality of social and emotional (SEL) learning.  </w:t>
            </w:r>
          </w:p>
          <w:p w:rsidR="009B4124" w:rsidRDefault="00ED11D7">
            <w:pPr>
              <w:spacing w:after="0" w:line="259" w:lineRule="auto"/>
              <w:ind w:left="0" w:firstLine="0"/>
            </w:pPr>
            <w:r>
              <w:t xml:space="preserve">  </w:t>
            </w:r>
          </w:p>
          <w:p w:rsidR="009B4124" w:rsidRDefault="00ED11D7">
            <w:pPr>
              <w:spacing w:after="0" w:line="258" w:lineRule="auto"/>
              <w:ind w:left="0" w:firstLine="0"/>
            </w:pPr>
            <w:r>
              <w:t xml:space="preserve">SEL approaches will be embedded into routine educational practices and supported by professional </w:t>
            </w:r>
          </w:p>
          <w:p w:rsidR="009B4124" w:rsidRDefault="00ED11D7">
            <w:pPr>
              <w:spacing w:after="0" w:line="259" w:lineRule="auto"/>
              <w:ind w:left="0" w:firstLine="0"/>
            </w:pPr>
            <w:r>
              <w:t xml:space="preserve">development and training for staff.  This will be supported through the engagement of </w:t>
            </w:r>
            <w:r w:rsidR="00731D59">
              <w:t>the PINS project</w:t>
            </w:r>
            <w:r>
              <w:t xml:space="preserve">. </w:t>
            </w:r>
          </w:p>
        </w:tc>
        <w:tc>
          <w:tcPr>
            <w:tcW w:w="4538"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2" w:line="239" w:lineRule="auto"/>
              <w:ind w:left="55" w:firstLine="0"/>
            </w:pPr>
            <w:r>
              <w:t xml:space="preserve">There is extensive evidence associating childhood social and emotional skills with improved outcomes at school and in later life  </w:t>
            </w:r>
          </w:p>
          <w:p w:rsidR="009B4124" w:rsidRDefault="00ED11D7">
            <w:pPr>
              <w:spacing w:after="0" w:line="259" w:lineRule="auto"/>
              <w:ind w:left="55" w:firstLine="0"/>
            </w:pPr>
            <w:r>
              <w:t xml:space="preserve">(e.g., improved academic performance, attitudes, behaviour and relationships with peers): </w:t>
            </w:r>
          </w:p>
          <w:p w:rsidR="009B4124" w:rsidRDefault="00F021FD">
            <w:pPr>
              <w:spacing w:after="0" w:line="259" w:lineRule="auto"/>
              <w:ind w:left="55" w:firstLine="0"/>
            </w:pPr>
            <w:hyperlink r:id="rId15">
              <w:proofErr w:type="spellStart"/>
              <w:r w:rsidR="00ED11D7">
                <w:t>EEF_Social_and_Emotional_Learning</w:t>
              </w:r>
              <w:proofErr w:type="spellEnd"/>
              <w:r w:rsidR="00ED11D7">
                <w:t xml:space="preserve"> </w:t>
              </w:r>
            </w:hyperlink>
            <w:hyperlink r:id="rId16">
              <w:r w:rsidR="00ED11D7">
                <w:t>.pdf(</w:t>
              </w:r>
              <w:proofErr w:type="spellStart"/>
              <w:r w:rsidR="00ED11D7">
                <w:t>educationendowmentfoundatio</w:t>
              </w:r>
              <w:proofErr w:type="spellEnd"/>
              <w:r w:rsidR="00ED11D7">
                <w:t xml:space="preserve"> </w:t>
              </w:r>
            </w:hyperlink>
            <w:hyperlink r:id="rId17">
              <w:r w:rsidR="00ED11D7">
                <w:t>n.org.uk</w:t>
              </w:r>
            </w:hyperlink>
            <w:hyperlink r:id="rId18">
              <w:r w:rsidR="00ED11D7">
                <w:t>)</w:t>
              </w:r>
            </w:hyperlink>
            <w:hyperlink r:id="rId19">
              <w:r w:rsidR="00ED11D7">
                <w:t xml:space="preserve">  </w:t>
              </w:r>
            </w:hyperlink>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5" w:firstLine="0"/>
            </w:pPr>
            <w:r>
              <w:t xml:space="preserve">5  </w:t>
            </w:r>
          </w:p>
        </w:tc>
      </w:tr>
    </w:tbl>
    <w:p w:rsidR="009B4124" w:rsidRDefault="00ED11D7">
      <w:pPr>
        <w:spacing w:after="136" w:line="259" w:lineRule="auto"/>
        <w:ind w:left="1133" w:firstLine="0"/>
      </w:pPr>
      <w:r>
        <w:rPr>
          <w:color w:val="0D0D0D"/>
        </w:rPr>
        <w:t xml:space="preserve"> </w:t>
      </w:r>
      <w:r>
        <w:t xml:space="preserve"> </w:t>
      </w:r>
    </w:p>
    <w:p w:rsidR="009B4124" w:rsidRDefault="00ED11D7">
      <w:pPr>
        <w:spacing w:after="0" w:line="259" w:lineRule="auto"/>
        <w:ind w:left="1133" w:right="8710" w:firstLine="0"/>
        <w:jc w:val="both"/>
      </w:pPr>
      <w:r>
        <w:rPr>
          <w:color w:val="0D0D0D"/>
        </w:rPr>
        <w:t xml:space="preserve">  </w:t>
      </w:r>
      <w:r>
        <w:rPr>
          <w:color w:val="0D0D0D"/>
        </w:rPr>
        <w:tab/>
        <w:t xml:space="preserve">  </w:t>
      </w:r>
    </w:p>
    <w:p w:rsidR="009B4124" w:rsidRDefault="00ED11D7" w:rsidP="00731D59">
      <w:pPr>
        <w:spacing w:after="0" w:line="259" w:lineRule="auto"/>
        <w:ind w:left="1133" w:firstLine="0"/>
      </w:pPr>
      <w:r>
        <w:lastRenderedPageBreak/>
        <w:t xml:space="preserve">Targeted academic support (for example, tutoring, one-to-one support structured interventions)   </w:t>
      </w:r>
    </w:p>
    <w:p w:rsidR="009B4124" w:rsidRDefault="00ED11D7">
      <w:pPr>
        <w:spacing w:after="3" w:line="258" w:lineRule="auto"/>
        <w:ind w:left="1114" w:hanging="10"/>
      </w:pPr>
      <w:r>
        <w:rPr>
          <w:color w:val="0D0D0D"/>
        </w:rPr>
        <w:t xml:space="preserve">Budgeted cost: </w:t>
      </w:r>
      <w:r>
        <w:rPr>
          <w:b/>
        </w:rPr>
        <w:t>£</w:t>
      </w:r>
      <w:r w:rsidR="00C00680" w:rsidRPr="00C00680">
        <w:rPr>
          <w:b/>
        </w:rPr>
        <w:t>170,000</w:t>
      </w:r>
      <w:r>
        <w:rPr>
          <w:color w:val="0D0D0D"/>
        </w:rPr>
        <w:t xml:space="preserve"> </w:t>
      </w:r>
      <w:r>
        <w:t xml:space="preserve"> </w:t>
      </w:r>
    </w:p>
    <w:tbl>
      <w:tblPr>
        <w:tblStyle w:val="TableGrid"/>
        <w:tblW w:w="9487" w:type="dxa"/>
        <w:tblInd w:w="1146" w:type="dxa"/>
        <w:tblCellMar>
          <w:top w:w="123" w:type="dxa"/>
          <w:left w:w="108" w:type="dxa"/>
          <w:right w:w="62" w:type="dxa"/>
        </w:tblCellMar>
        <w:tblLook w:val="04A0" w:firstRow="1" w:lastRow="0" w:firstColumn="1" w:lastColumn="0" w:noHBand="0" w:noVBand="1"/>
      </w:tblPr>
      <w:tblGrid>
        <w:gridCol w:w="2970"/>
        <w:gridCol w:w="4965"/>
        <w:gridCol w:w="1552"/>
      </w:tblGrid>
      <w:tr w:rsidR="009B4124" w:rsidTr="00731D59">
        <w:trPr>
          <w:trHeight w:val="1224"/>
        </w:trPr>
        <w:tc>
          <w:tcPr>
            <w:tcW w:w="2970"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6" w:firstLine="0"/>
            </w:pPr>
            <w:r>
              <w:rPr>
                <w:b/>
                <w:color w:val="0D0D0D"/>
              </w:rPr>
              <w:t xml:space="preserve">Activity </w:t>
            </w:r>
            <w:r>
              <w:t xml:space="preserve"> </w:t>
            </w:r>
          </w:p>
        </w:tc>
        <w:tc>
          <w:tcPr>
            <w:tcW w:w="4965"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8" w:firstLine="0"/>
            </w:pPr>
            <w:r>
              <w:rPr>
                <w:b/>
                <w:color w:val="0D0D0D"/>
              </w:rPr>
              <w:t xml:space="preserve">Evidence that supports this approach </w:t>
            </w:r>
            <w:r>
              <w:t xml:space="preserve"> </w:t>
            </w:r>
          </w:p>
        </w:tc>
        <w:tc>
          <w:tcPr>
            <w:tcW w:w="1552"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8" w:firstLine="0"/>
            </w:pPr>
            <w:r>
              <w:rPr>
                <w:b/>
                <w:color w:val="0D0D0D"/>
              </w:rPr>
              <w:t xml:space="preserve">Challenge number(s) addressed </w:t>
            </w:r>
            <w:r>
              <w:t xml:space="preserve"> </w:t>
            </w:r>
          </w:p>
        </w:tc>
      </w:tr>
      <w:tr w:rsidR="009B4124" w:rsidTr="00731D59">
        <w:trPr>
          <w:trHeight w:val="2817"/>
        </w:trPr>
        <w:tc>
          <w:tcPr>
            <w:tcW w:w="2970"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6" w:firstLine="0"/>
            </w:pPr>
            <w:r>
              <w:t xml:space="preserve">Employment of </w:t>
            </w:r>
          </w:p>
          <w:p w:rsidR="009B4124" w:rsidRDefault="00ED11D7">
            <w:pPr>
              <w:spacing w:after="120" w:line="239" w:lineRule="auto"/>
              <w:ind w:left="56" w:firstLine="0"/>
            </w:pPr>
            <w:r>
              <w:t xml:space="preserve">additional staff to provide tuition and small group interventions.  </w:t>
            </w:r>
          </w:p>
          <w:p w:rsidR="009B4124" w:rsidRDefault="00ED11D7">
            <w:pPr>
              <w:spacing w:after="0" w:line="259" w:lineRule="auto"/>
              <w:ind w:left="56" w:firstLine="0"/>
            </w:pPr>
            <w:r>
              <w:t xml:space="preserve">  </w:t>
            </w:r>
          </w:p>
        </w:tc>
        <w:tc>
          <w:tcPr>
            <w:tcW w:w="4965"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279" w:line="239" w:lineRule="auto"/>
              <w:ind w:left="58" w:right="146" w:firstLine="0"/>
              <w:jc w:val="both"/>
            </w:pPr>
            <w:r>
              <w:t xml:space="preserve">Targeted academic support is shown to impact positively on pupil standards and progress.  EEF   </w:t>
            </w:r>
          </w:p>
          <w:p w:rsidR="009B4124" w:rsidRDefault="00ED11D7">
            <w:pPr>
              <w:spacing w:after="283" w:line="239" w:lineRule="auto"/>
              <w:ind w:left="0" w:firstLine="0"/>
            </w:pPr>
            <w:r>
              <w:t xml:space="preserve">Using your pupil premium funding effectively  </w:t>
            </w:r>
          </w:p>
          <w:p w:rsidR="009B4124" w:rsidRDefault="00ED11D7">
            <w:pPr>
              <w:spacing w:after="0" w:line="259" w:lineRule="auto"/>
              <w:ind w:left="58" w:firstLine="0"/>
            </w:pPr>
            <w:r>
              <w:t xml:space="preserve">  </w:t>
            </w:r>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pPr>
            <w:r>
              <w:t xml:space="preserve">1  </w:t>
            </w:r>
          </w:p>
        </w:tc>
      </w:tr>
      <w:tr w:rsidR="009B4124" w:rsidTr="00731D59">
        <w:trPr>
          <w:trHeight w:val="3742"/>
        </w:trPr>
        <w:tc>
          <w:tcPr>
            <w:tcW w:w="2970"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6" w:firstLine="0"/>
            </w:pPr>
            <w:r>
              <w:t xml:space="preserve">Additional phonics sessions targeted at disadvantaged pupils who require further phonics support.   </w:t>
            </w:r>
          </w:p>
        </w:tc>
        <w:tc>
          <w:tcPr>
            <w:tcW w:w="4965"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60" w:line="238" w:lineRule="auto"/>
              <w:ind w:left="58" w:firstLine="0"/>
            </w:pPr>
            <w: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rsidR="009B4124" w:rsidRDefault="00F021FD">
            <w:pPr>
              <w:spacing w:after="0" w:line="259" w:lineRule="auto"/>
              <w:ind w:left="58" w:firstLine="0"/>
            </w:pPr>
            <w:hyperlink r:id="rId20">
              <w:r w:rsidR="00ED11D7">
                <w:t xml:space="preserve">Phonics | Toolkit Strand | Education </w:t>
              </w:r>
            </w:hyperlink>
            <w:hyperlink r:id="rId21">
              <w:r w:rsidR="00ED11D7">
                <w:t xml:space="preserve"> </w:t>
              </w:r>
            </w:hyperlink>
          </w:p>
          <w:p w:rsidR="009B4124" w:rsidRDefault="00F021FD">
            <w:pPr>
              <w:spacing w:after="0" w:line="259" w:lineRule="auto"/>
              <w:ind w:left="58" w:firstLine="0"/>
            </w:pPr>
            <w:hyperlink r:id="rId22">
              <w:r w:rsidR="00ED11D7">
                <w:t>Endowment Foundation | EE</w:t>
              </w:r>
            </w:hyperlink>
            <w:hyperlink r:id="rId23">
              <w:r w:rsidR="00ED11D7">
                <w:t>F</w:t>
              </w:r>
            </w:hyperlink>
            <w:hyperlink r:id="rId24">
              <w:r w:rsidR="00ED11D7">
                <w:t xml:space="preserve">  </w:t>
              </w:r>
            </w:hyperlink>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pPr>
            <w:r>
              <w:t xml:space="preserve">2  </w:t>
            </w:r>
          </w:p>
        </w:tc>
      </w:tr>
      <w:tr w:rsidR="009B4124" w:rsidTr="00731D59">
        <w:trPr>
          <w:trHeight w:val="1918"/>
        </w:trPr>
        <w:tc>
          <w:tcPr>
            <w:tcW w:w="2970" w:type="dxa"/>
            <w:tcBorders>
              <w:top w:val="single" w:sz="4" w:space="0" w:color="000000"/>
              <w:left w:val="single" w:sz="4" w:space="0" w:color="000000"/>
              <w:bottom w:val="single" w:sz="4" w:space="0" w:color="000000"/>
              <w:right w:val="single" w:sz="4" w:space="0" w:color="000000"/>
            </w:tcBorders>
          </w:tcPr>
          <w:p w:rsidR="009B4124" w:rsidRPr="00257928" w:rsidRDefault="00ED11D7">
            <w:pPr>
              <w:spacing w:after="0" w:line="259" w:lineRule="auto"/>
              <w:ind w:left="58" w:firstLine="0"/>
            </w:pPr>
            <w:r w:rsidRPr="00257928">
              <w:t xml:space="preserve">Engaging with the </w:t>
            </w:r>
          </w:p>
          <w:p w:rsidR="009B4124" w:rsidRPr="00257928" w:rsidRDefault="00ED11D7">
            <w:pPr>
              <w:spacing w:after="0" w:line="259" w:lineRule="auto"/>
              <w:ind w:left="58" w:firstLine="0"/>
            </w:pPr>
            <w:r w:rsidRPr="00257928">
              <w:t xml:space="preserve">National Tutoring Programme to provide a blend of tuition, mentoring and school- </w:t>
            </w:r>
          </w:p>
        </w:tc>
        <w:tc>
          <w:tcPr>
            <w:tcW w:w="4965" w:type="dxa"/>
            <w:tcBorders>
              <w:top w:val="single" w:sz="4" w:space="0" w:color="000000"/>
              <w:left w:val="single" w:sz="4" w:space="0" w:color="000000"/>
              <w:bottom w:val="single" w:sz="4" w:space="0" w:color="000000"/>
              <w:right w:val="single" w:sz="4" w:space="0" w:color="000000"/>
            </w:tcBorders>
          </w:tcPr>
          <w:p w:rsidR="009B4124" w:rsidRPr="00257928" w:rsidRDefault="00ED11D7">
            <w:pPr>
              <w:spacing w:after="0" w:line="259" w:lineRule="auto"/>
              <w:ind w:left="58" w:firstLine="0"/>
            </w:pPr>
            <w:r w:rsidRPr="00257928">
              <w:t>Tuition targeted at specific needs and knowledge gaps can be an effective method to support low attaining pupils or those falling behind, both one-</w:t>
            </w:r>
            <w:proofErr w:type="spellStart"/>
            <w:r w:rsidRPr="00257928">
              <w:t>toone</w:t>
            </w:r>
            <w:proofErr w:type="spellEnd"/>
            <w:r w:rsidRPr="00257928">
              <w:t xml:space="preserve">:  </w:t>
            </w:r>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8" w:firstLine="0"/>
            </w:pPr>
            <w:r w:rsidRPr="00257928">
              <w:t>4</w:t>
            </w:r>
            <w:r>
              <w:t xml:space="preserve">  </w:t>
            </w:r>
          </w:p>
        </w:tc>
      </w:tr>
      <w:tr w:rsidR="009B4124" w:rsidTr="00731D59">
        <w:trPr>
          <w:trHeight w:val="3764"/>
        </w:trPr>
        <w:tc>
          <w:tcPr>
            <w:tcW w:w="2970" w:type="dxa"/>
            <w:tcBorders>
              <w:top w:val="single" w:sz="4" w:space="0" w:color="000000"/>
              <w:left w:val="single" w:sz="4" w:space="0" w:color="000000"/>
              <w:bottom w:val="single" w:sz="4" w:space="0" w:color="000000"/>
              <w:right w:val="single" w:sz="4" w:space="0" w:color="000000"/>
            </w:tcBorders>
          </w:tcPr>
          <w:p w:rsidR="009B4124" w:rsidRPr="00257928" w:rsidRDefault="00ED11D7">
            <w:pPr>
              <w:spacing w:after="0" w:line="259" w:lineRule="auto"/>
              <w:ind w:left="0" w:right="34" w:firstLine="0"/>
            </w:pPr>
            <w:r w:rsidRPr="00257928">
              <w:lastRenderedPageBreak/>
              <w:t xml:space="preserve">led tutoring for pupils whose education has been most impacted by the pandemic. A significant proportion of the pupils who receive tutoring will be disadvantaged, including those who are high attainers.  </w:t>
            </w:r>
          </w:p>
        </w:tc>
        <w:tc>
          <w:tcPr>
            <w:tcW w:w="4965" w:type="dxa"/>
            <w:tcBorders>
              <w:top w:val="single" w:sz="4" w:space="0" w:color="000000"/>
              <w:left w:val="single" w:sz="4" w:space="0" w:color="000000"/>
              <w:bottom w:val="single" w:sz="4" w:space="0" w:color="000000"/>
              <w:right w:val="single" w:sz="4" w:space="0" w:color="000000"/>
            </w:tcBorders>
          </w:tcPr>
          <w:p w:rsidR="009B4124" w:rsidRPr="00257928" w:rsidRDefault="00F021FD">
            <w:pPr>
              <w:spacing w:after="0" w:line="281" w:lineRule="auto"/>
              <w:ind w:left="0" w:right="1233" w:firstLine="0"/>
            </w:pPr>
            <w:hyperlink r:id="rId25">
              <w:r w:rsidR="00ED11D7" w:rsidRPr="00257928">
                <w:t>One to one tuition | EE</w:t>
              </w:r>
            </w:hyperlink>
            <w:hyperlink r:id="rId26">
              <w:r w:rsidR="00ED11D7" w:rsidRPr="00257928">
                <w:t>F</w:t>
              </w:r>
            </w:hyperlink>
            <w:hyperlink r:id="rId27">
              <w:r w:rsidR="00ED11D7" w:rsidRPr="00257928">
                <w:t xml:space="preserve"> </w:t>
              </w:r>
            </w:hyperlink>
            <w:hyperlink r:id="rId28">
              <w:r w:rsidR="00ED11D7" w:rsidRPr="00257928">
                <w:t>A</w:t>
              </w:r>
            </w:hyperlink>
            <w:r w:rsidR="00ED11D7" w:rsidRPr="00257928">
              <w:t xml:space="preserve">nd in small groups:  </w:t>
            </w:r>
          </w:p>
          <w:p w:rsidR="009B4124" w:rsidRPr="00257928" w:rsidRDefault="00F021FD">
            <w:pPr>
              <w:spacing w:after="0" w:line="259" w:lineRule="auto"/>
              <w:ind w:left="0" w:firstLine="0"/>
            </w:pPr>
            <w:hyperlink r:id="rId29">
              <w:r w:rsidR="00ED11D7" w:rsidRPr="00257928">
                <w:t xml:space="preserve">Small group tuition | Toolkit Strand | </w:t>
              </w:r>
            </w:hyperlink>
            <w:hyperlink r:id="rId30">
              <w:r w:rsidR="00ED11D7" w:rsidRPr="00257928">
                <w:t xml:space="preserve"> </w:t>
              </w:r>
            </w:hyperlink>
          </w:p>
          <w:p w:rsidR="009B4124" w:rsidRDefault="00F021FD">
            <w:pPr>
              <w:spacing w:after="0" w:line="259" w:lineRule="auto"/>
              <w:ind w:left="0" w:firstLine="0"/>
              <w:jc w:val="both"/>
            </w:pPr>
            <w:hyperlink r:id="rId31">
              <w:r w:rsidR="00ED11D7" w:rsidRPr="00257928">
                <w:t>Education Endowment Foundation | EE</w:t>
              </w:r>
            </w:hyperlink>
            <w:hyperlink r:id="rId32">
              <w:r w:rsidR="00ED11D7" w:rsidRPr="00257928">
                <w:t>F</w:t>
              </w:r>
            </w:hyperlink>
            <w:hyperlink r:id="rId33">
              <w:r w:rsidR="00ED11D7" w:rsidRPr="00257928">
                <w:t xml:space="preserve">  </w:t>
              </w:r>
            </w:hyperlink>
          </w:p>
        </w:tc>
        <w:tc>
          <w:tcPr>
            <w:tcW w:w="155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firstLine="0"/>
            </w:pPr>
            <w:r>
              <w:t xml:space="preserve"> </w:t>
            </w:r>
          </w:p>
        </w:tc>
      </w:tr>
    </w:tbl>
    <w:p w:rsidR="009B4124" w:rsidRDefault="00ED11D7">
      <w:pPr>
        <w:spacing w:after="316" w:line="259" w:lineRule="auto"/>
        <w:ind w:left="1133" w:firstLine="0"/>
      </w:pPr>
      <w:r>
        <w:rPr>
          <w:b/>
          <w:color w:val="76923C"/>
        </w:rPr>
        <w:t xml:space="preserve"> </w:t>
      </w:r>
      <w:r>
        <w:t xml:space="preserve"> </w:t>
      </w:r>
    </w:p>
    <w:p w:rsidR="009B4124" w:rsidRDefault="00ED11D7">
      <w:pPr>
        <w:spacing w:after="0" w:line="259" w:lineRule="auto"/>
        <w:ind w:left="1133" w:firstLine="0"/>
        <w:jc w:val="both"/>
      </w:pPr>
      <w:r>
        <w:rPr>
          <w:b/>
          <w:color w:val="76923C"/>
        </w:rPr>
        <w:t xml:space="preserve">  </w:t>
      </w:r>
      <w:r>
        <w:rPr>
          <w:b/>
          <w:color w:val="76923C"/>
        </w:rPr>
        <w:tab/>
        <w:t xml:space="preserve"> </w:t>
      </w:r>
      <w:r>
        <w:t xml:space="preserve"> </w:t>
      </w:r>
      <w:r>
        <w:tab/>
        <w:t xml:space="preserve"> </w:t>
      </w:r>
      <w:r>
        <w:br w:type="page"/>
      </w:r>
    </w:p>
    <w:p w:rsidR="009B4124" w:rsidRDefault="00ED11D7">
      <w:pPr>
        <w:pStyle w:val="Heading1"/>
        <w:spacing w:after="0"/>
        <w:ind w:left="1114"/>
      </w:pPr>
      <w:r>
        <w:lastRenderedPageBreak/>
        <w:t xml:space="preserve">Wider strategies (for example, related to attendance, behaviour, wellbeing) </w:t>
      </w:r>
      <w:r>
        <w:rPr>
          <w:b w:val="0"/>
          <w:color w:val="0D0D0D"/>
        </w:rPr>
        <w:t xml:space="preserve">Budgeted cost: </w:t>
      </w:r>
      <w:r>
        <w:rPr>
          <w:color w:val="000000"/>
        </w:rPr>
        <w:t>£</w:t>
      </w:r>
      <w:r w:rsidRPr="00C00680">
        <w:rPr>
          <w:color w:val="000000"/>
        </w:rPr>
        <w:t>5,000</w:t>
      </w:r>
      <w:r>
        <w:rPr>
          <w:b w:val="0"/>
          <w:color w:val="0D0D0D"/>
        </w:rPr>
        <w:t xml:space="preserve"> </w:t>
      </w:r>
      <w:r>
        <w:rPr>
          <w:b w:val="0"/>
          <w:color w:val="000000"/>
        </w:rPr>
        <w:t xml:space="preserve"> </w:t>
      </w:r>
    </w:p>
    <w:tbl>
      <w:tblPr>
        <w:tblStyle w:val="TableGrid"/>
        <w:tblW w:w="9486" w:type="dxa"/>
        <w:tblInd w:w="1146" w:type="dxa"/>
        <w:tblCellMar>
          <w:top w:w="137" w:type="dxa"/>
          <w:left w:w="107" w:type="dxa"/>
          <w:bottom w:w="30" w:type="dxa"/>
          <w:right w:w="87" w:type="dxa"/>
        </w:tblCellMar>
        <w:tblLook w:val="04A0" w:firstRow="1" w:lastRow="0" w:firstColumn="1" w:lastColumn="0" w:noHBand="0" w:noVBand="1"/>
      </w:tblPr>
      <w:tblGrid>
        <w:gridCol w:w="4107"/>
        <w:gridCol w:w="3687"/>
        <w:gridCol w:w="1692"/>
      </w:tblGrid>
      <w:tr w:rsidR="009B4124" w:rsidTr="00731D59">
        <w:trPr>
          <w:trHeight w:val="1237"/>
        </w:trPr>
        <w:tc>
          <w:tcPr>
            <w:tcW w:w="4107"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8" w:firstLine="0"/>
            </w:pPr>
            <w:r>
              <w:rPr>
                <w:b/>
                <w:color w:val="0D0D0D"/>
              </w:rPr>
              <w:t xml:space="preserve">Activity </w:t>
            </w:r>
            <w:r>
              <w:t xml:space="preserve"> </w:t>
            </w:r>
          </w:p>
        </w:tc>
        <w:tc>
          <w:tcPr>
            <w:tcW w:w="3687"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6" w:firstLine="0"/>
            </w:pPr>
            <w:r>
              <w:rPr>
                <w:b/>
                <w:color w:val="0D0D0D"/>
              </w:rPr>
              <w:t xml:space="preserve">Evidence that supports this approach </w:t>
            </w:r>
            <w:r>
              <w:t xml:space="preserve"> </w:t>
            </w:r>
          </w:p>
        </w:tc>
        <w:tc>
          <w:tcPr>
            <w:tcW w:w="1692" w:type="dxa"/>
            <w:tcBorders>
              <w:top w:val="single" w:sz="4" w:space="0" w:color="000000"/>
              <w:left w:val="single" w:sz="4" w:space="0" w:color="000000"/>
              <w:bottom w:val="single" w:sz="4" w:space="0" w:color="000000"/>
              <w:right w:val="single" w:sz="4" w:space="0" w:color="000000"/>
            </w:tcBorders>
            <w:shd w:val="clear" w:color="auto" w:fill="C2D69B"/>
          </w:tcPr>
          <w:p w:rsidR="009B4124" w:rsidRDefault="00ED11D7">
            <w:pPr>
              <w:spacing w:after="0" w:line="259" w:lineRule="auto"/>
              <w:ind w:left="59" w:firstLine="0"/>
            </w:pPr>
            <w:r>
              <w:rPr>
                <w:b/>
                <w:color w:val="0D0D0D"/>
              </w:rPr>
              <w:t xml:space="preserve">Challenge number(s) addressed </w:t>
            </w:r>
            <w:r>
              <w:t xml:space="preserve"> </w:t>
            </w:r>
          </w:p>
        </w:tc>
      </w:tr>
      <w:tr w:rsidR="009B4124" w:rsidTr="00731D59">
        <w:trPr>
          <w:trHeight w:val="3860"/>
        </w:trPr>
        <w:tc>
          <w:tcPr>
            <w:tcW w:w="4107"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119" w:line="239" w:lineRule="auto"/>
              <w:ind w:left="29" w:firstLine="0"/>
            </w:pPr>
            <w:r>
              <w:t xml:space="preserve">Embedding principles of good practice set out in the DfE’s  </w:t>
            </w:r>
            <w:hyperlink r:id="rId34">
              <w:r>
                <w:t>Improving School Attendanc</w:t>
              </w:r>
            </w:hyperlink>
            <w:hyperlink r:id="rId35">
              <w:r>
                <w:t>e</w:t>
              </w:r>
            </w:hyperlink>
            <w:hyperlink r:id="rId36">
              <w:r>
                <w:t xml:space="preserve"> </w:t>
              </w:r>
            </w:hyperlink>
            <w:r>
              <w:t xml:space="preserve">advice.  </w:t>
            </w:r>
          </w:p>
          <w:p w:rsidR="009B4124" w:rsidRDefault="00ED11D7">
            <w:pPr>
              <w:spacing w:after="1" w:line="258" w:lineRule="auto"/>
              <w:ind w:left="0" w:firstLine="0"/>
            </w:pPr>
            <w:r>
              <w:t xml:space="preserve">This will involve training and release time for staff to develop and implement new procedures </w:t>
            </w:r>
          </w:p>
          <w:p w:rsidR="009B4124" w:rsidRDefault="00ED11D7">
            <w:pPr>
              <w:spacing w:after="0" w:line="259" w:lineRule="auto"/>
              <w:ind w:left="0" w:firstLine="0"/>
            </w:pPr>
            <w:r>
              <w:t xml:space="preserve">and appointing </w:t>
            </w:r>
          </w:p>
          <w:p w:rsidR="009B4124" w:rsidRDefault="00ED11D7">
            <w:pPr>
              <w:spacing w:after="0" w:line="259" w:lineRule="auto"/>
              <w:ind w:left="0" w:firstLine="0"/>
              <w:jc w:val="both"/>
            </w:pPr>
            <w:r>
              <w:t xml:space="preserve">attendance/support officers to improve attendance.   </w:t>
            </w:r>
          </w:p>
        </w:tc>
        <w:tc>
          <w:tcPr>
            <w:tcW w:w="3687"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6" w:firstLine="0"/>
            </w:pPr>
            <w:r>
              <w:t xml:space="preserve">The DfE guidance has been informed by engagement with schools that have significantly reduced levels of absence and persistent absence.   </w:t>
            </w:r>
          </w:p>
        </w:tc>
        <w:tc>
          <w:tcPr>
            <w:tcW w:w="169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9" w:firstLine="0"/>
            </w:pPr>
            <w:r>
              <w:t xml:space="preserve">6  </w:t>
            </w:r>
          </w:p>
        </w:tc>
      </w:tr>
      <w:tr w:rsidR="009B4124" w:rsidTr="00731D59">
        <w:trPr>
          <w:trHeight w:val="2712"/>
        </w:trPr>
        <w:tc>
          <w:tcPr>
            <w:tcW w:w="4107" w:type="dxa"/>
            <w:tcBorders>
              <w:top w:val="single" w:sz="4" w:space="0" w:color="000000"/>
              <w:left w:val="single" w:sz="4" w:space="0" w:color="000000"/>
              <w:bottom w:val="single" w:sz="4" w:space="0" w:color="000000"/>
              <w:right w:val="single" w:sz="4" w:space="0" w:color="000000"/>
            </w:tcBorders>
          </w:tcPr>
          <w:p w:rsidR="009B4124" w:rsidRDefault="00ED11D7">
            <w:pPr>
              <w:spacing w:after="65" w:line="239" w:lineRule="auto"/>
              <w:ind w:left="29" w:firstLine="0"/>
            </w:pPr>
            <w:r>
              <w:t xml:space="preserve">Contingency fund for acute issues.  </w:t>
            </w:r>
          </w:p>
          <w:p w:rsidR="009B4124" w:rsidRDefault="00ED11D7">
            <w:pPr>
              <w:spacing w:after="0" w:line="259" w:lineRule="auto"/>
              <w:ind w:left="58" w:firstLine="0"/>
            </w:pPr>
            <w:r>
              <w:t xml:space="preserve">  </w:t>
            </w:r>
          </w:p>
        </w:tc>
        <w:tc>
          <w:tcPr>
            <w:tcW w:w="3687" w:type="dxa"/>
            <w:tcBorders>
              <w:top w:val="single" w:sz="4" w:space="0" w:color="000000"/>
              <w:left w:val="single" w:sz="4" w:space="0" w:color="000000"/>
              <w:bottom w:val="single" w:sz="4" w:space="0" w:color="000000"/>
              <w:right w:val="single" w:sz="4" w:space="0" w:color="000000"/>
            </w:tcBorders>
            <w:vAlign w:val="bottom"/>
          </w:tcPr>
          <w:p w:rsidR="009B4124" w:rsidRDefault="00ED11D7">
            <w:pPr>
              <w:spacing w:after="0" w:line="259" w:lineRule="auto"/>
              <w:ind w:left="37" w:right="44" w:firstLine="0"/>
            </w:pPr>
            <w:r>
              <w:t xml:space="preserve">Based on our experiences and those of similar schools to ours, we have identified a need to set a small amount of funding aside to respond quickly to needs that have not yet been identified.  </w:t>
            </w:r>
          </w:p>
        </w:tc>
        <w:tc>
          <w:tcPr>
            <w:tcW w:w="1692"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59" w:firstLine="0"/>
            </w:pPr>
            <w:r>
              <w:t xml:space="preserve">All  </w:t>
            </w:r>
          </w:p>
        </w:tc>
      </w:tr>
    </w:tbl>
    <w:p w:rsidR="009B4124" w:rsidRDefault="00ED11D7">
      <w:pPr>
        <w:spacing w:after="158" w:line="259" w:lineRule="auto"/>
        <w:ind w:left="1133" w:firstLine="0"/>
      </w:pPr>
      <w:r>
        <w:rPr>
          <w:b/>
          <w:color w:val="104F75"/>
        </w:rPr>
        <w:t xml:space="preserve"> </w:t>
      </w:r>
      <w:r>
        <w:t xml:space="preserve"> </w:t>
      </w:r>
    </w:p>
    <w:p w:rsidR="009B4124" w:rsidRDefault="00ED11D7">
      <w:pPr>
        <w:spacing w:after="446" w:line="263" w:lineRule="auto"/>
        <w:ind w:left="1114" w:hanging="10"/>
      </w:pPr>
      <w:r>
        <w:rPr>
          <w:b/>
          <w:color w:val="76923C"/>
        </w:rPr>
        <w:t>Total budgeted cost</w:t>
      </w:r>
      <w:r>
        <w:rPr>
          <w:b/>
          <w:color w:val="104F75"/>
        </w:rPr>
        <w:t xml:space="preserve">: </w:t>
      </w:r>
      <w:r>
        <w:rPr>
          <w:b/>
        </w:rPr>
        <w:t>£</w:t>
      </w:r>
      <w:proofErr w:type="gramStart"/>
      <w:r w:rsidR="00C00680">
        <w:rPr>
          <w:b/>
        </w:rPr>
        <w:t>215,000</w:t>
      </w:r>
      <w:r>
        <w:rPr>
          <w:color w:val="0D0D0D"/>
        </w:rPr>
        <w:t xml:space="preserve"> </w:t>
      </w:r>
      <w:r>
        <w:t xml:space="preserve"> </w:t>
      </w:r>
      <w:r>
        <w:rPr>
          <w:b/>
          <w:color w:val="76923C"/>
        </w:rPr>
        <w:t>Part</w:t>
      </w:r>
      <w:proofErr w:type="gramEnd"/>
      <w:r>
        <w:rPr>
          <w:b/>
          <w:color w:val="76923C"/>
        </w:rPr>
        <w:t xml:space="preserve"> B: Review of outcomes in the previous academic year </w:t>
      </w:r>
      <w:r>
        <w:t xml:space="preserve"> </w:t>
      </w:r>
    </w:p>
    <w:p w:rsidR="009B4124" w:rsidRDefault="00ED11D7">
      <w:pPr>
        <w:pStyle w:val="Heading1"/>
        <w:ind w:left="1114"/>
      </w:pPr>
      <w:r>
        <w:t xml:space="preserve">Pupil premium strategy outcomes </w:t>
      </w:r>
      <w:r>
        <w:rPr>
          <w:b w:val="0"/>
          <w:color w:val="000000"/>
        </w:rPr>
        <w:t xml:space="preserve"> </w:t>
      </w:r>
    </w:p>
    <w:p w:rsidR="009B4124" w:rsidRDefault="00ED11D7">
      <w:pPr>
        <w:spacing w:after="3" w:line="258" w:lineRule="auto"/>
        <w:ind w:left="1114" w:hanging="10"/>
      </w:pPr>
      <w:r>
        <w:rPr>
          <w:color w:val="0D0D0D"/>
        </w:rPr>
        <w:t xml:space="preserve">This details the impact that our pupil premium activity had on pupils in the 2022 to 2023 academic year.  </w:t>
      </w:r>
      <w:r>
        <w:t xml:space="preserve"> </w:t>
      </w:r>
    </w:p>
    <w:p w:rsidR="009B4124" w:rsidRDefault="00ED11D7">
      <w:pPr>
        <w:spacing w:after="58" w:line="259" w:lineRule="auto"/>
        <w:ind w:left="1133" w:firstLine="0"/>
      </w:pPr>
      <w:r>
        <w:rPr>
          <w:color w:val="0D0D0D"/>
          <w:sz w:val="22"/>
        </w:rPr>
        <w:t xml:space="preserve"> </w:t>
      </w:r>
      <w:r>
        <w:t xml:space="preserve"> </w:t>
      </w:r>
    </w:p>
    <w:p w:rsidR="009B4124" w:rsidRDefault="00ED11D7">
      <w:pPr>
        <w:spacing w:after="0" w:line="259" w:lineRule="auto"/>
        <w:ind w:left="1133" w:firstLine="0"/>
      </w:pPr>
      <w:r>
        <w:rPr>
          <w:color w:val="0D0D0D"/>
          <w:sz w:val="22"/>
        </w:rPr>
        <w:t xml:space="preserve"> </w:t>
      </w:r>
      <w:r>
        <w:t xml:space="preserve"> </w:t>
      </w:r>
    </w:p>
    <w:tbl>
      <w:tblPr>
        <w:tblStyle w:val="TableGrid"/>
        <w:tblW w:w="9362" w:type="dxa"/>
        <w:tblInd w:w="1280" w:type="dxa"/>
        <w:tblCellMar>
          <w:top w:w="178" w:type="dxa"/>
          <w:left w:w="110" w:type="dxa"/>
          <w:bottom w:w="141" w:type="dxa"/>
          <w:right w:w="90" w:type="dxa"/>
        </w:tblCellMar>
        <w:tblLook w:val="04A0" w:firstRow="1" w:lastRow="0" w:firstColumn="1" w:lastColumn="0" w:noHBand="0" w:noVBand="1"/>
      </w:tblPr>
      <w:tblGrid>
        <w:gridCol w:w="4943"/>
        <w:gridCol w:w="2151"/>
        <w:gridCol w:w="2268"/>
      </w:tblGrid>
      <w:tr w:rsidR="009B4124">
        <w:trPr>
          <w:trHeight w:val="1015"/>
        </w:trPr>
        <w:tc>
          <w:tcPr>
            <w:tcW w:w="4943" w:type="dxa"/>
            <w:tcBorders>
              <w:top w:val="single" w:sz="4" w:space="0" w:color="000000"/>
              <w:left w:val="single" w:sz="4" w:space="0" w:color="000000"/>
              <w:bottom w:val="single" w:sz="4" w:space="0" w:color="000000"/>
              <w:right w:val="single" w:sz="4" w:space="0" w:color="000000"/>
            </w:tcBorders>
          </w:tcPr>
          <w:p w:rsidR="009B4124" w:rsidRDefault="00ED11D7">
            <w:pPr>
              <w:spacing w:after="0" w:line="259" w:lineRule="auto"/>
              <w:ind w:left="0" w:right="19" w:firstLine="0"/>
              <w:jc w:val="center"/>
            </w:pPr>
            <w:r>
              <w:rPr>
                <w:b/>
                <w:color w:val="0D0D0D"/>
              </w:rPr>
              <w:t xml:space="preserve">Academic Year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35" w:line="259" w:lineRule="auto"/>
              <w:ind w:left="0" w:right="19" w:firstLine="0"/>
              <w:jc w:val="center"/>
            </w:pPr>
            <w:r>
              <w:rPr>
                <w:b/>
                <w:color w:val="0D0D0D"/>
              </w:rPr>
              <w:t xml:space="preserve">School PPG </w:t>
            </w:r>
            <w:r>
              <w:t xml:space="preserve"> </w:t>
            </w:r>
          </w:p>
          <w:p w:rsidR="009B4124" w:rsidRDefault="00ED11D7">
            <w:pPr>
              <w:spacing w:after="0" w:line="259" w:lineRule="auto"/>
              <w:ind w:left="0" w:right="20" w:firstLine="0"/>
              <w:jc w:val="center"/>
            </w:pPr>
            <w:r>
              <w:rPr>
                <w:b/>
                <w:color w:val="0D0D0D"/>
              </w:rPr>
              <w:t>202</w:t>
            </w:r>
            <w:r w:rsidR="00731D59">
              <w:rPr>
                <w:b/>
                <w:color w:val="0D0D0D"/>
              </w:rPr>
              <w:t>4</w:t>
            </w:r>
            <w:r>
              <w:rPr>
                <w:b/>
                <w:color w:val="0D0D0D"/>
              </w:rPr>
              <w:t xml:space="preserve"> </w:t>
            </w:r>
            <w:r>
              <w:t xml:space="preserve"> </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jc w:val="center"/>
            </w:pPr>
            <w:r>
              <w:rPr>
                <w:b/>
                <w:color w:val="0D0D0D"/>
              </w:rPr>
              <w:t>National 202</w:t>
            </w:r>
            <w:r w:rsidR="00731D59">
              <w:rPr>
                <w:b/>
                <w:color w:val="0D0D0D"/>
              </w:rPr>
              <w:t>4</w:t>
            </w:r>
            <w:r>
              <w:rPr>
                <w:b/>
                <w:color w:val="0D0D0D"/>
              </w:rPr>
              <w:t xml:space="preserve"> all pupils </w:t>
            </w:r>
            <w:r>
              <w:t xml:space="preserve"> </w:t>
            </w:r>
          </w:p>
        </w:tc>
      </w:tr>
      <w:tr w:rsidR="009B4124" w:rsidTr="00BF7078">
        <w:trPr>
          <w:trHeight w:val="1018"/>
        </w:trPr>
        <w:tc>
          <w:tcPr>
            <w:tcW w:w="4943"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rPr>
                <w:color w:val="0D0D0D"/>
              </w:rPr>
              <w:lastRenderedPageBreak/>
              <w:t xml:space="preserve">% of pupils reaching the expected standard in Reading at the end of KS 2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Pr="00BF7078" w:rsidRDefault="00BF7078" w:rsidP="00BF7078">
            <w:pPr>
              <w:spacing w:after="0" w:line="259" w:lineRule="auto"/>
              <w:ind w:left="0" w:right="18" w:firstLine="0"/>
              <w:jc w:val="center"/>
            </w:pPr>
            <w:r w:rsidRPr="00BF7078">
              <w:rPr>
                <w:b/>
                <w:color w:val="0D0D0D"/>
              </w:rPr>
              <w:t>79</w:t>
            </w:r>
            <w:r w:rsidR="00ED11D7" w:rsidRPr="00BF7078">
              <w:rPr>
                <w:b/>
                <w:color w:val="0D0D0D"/>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Pr="00EE5B16" w:rsidRDefault="00ED11D7" w:rsidP="00BF7078">
            <w:pPr>
              <w:spacing w:after="0" w:line="259" w:lineRule="auto"/>
              <w:ind w:left="0" w:right="20" w:firstLine="0"/>
              <w:jc w:val="center"/>
            </w:pPr>
            <w:r w:rsidRPr="00EE5B16">
              <w:rPr>
                <w:b/>
                <w:color w:val="0D0D0D"/>
              </w:rPr>
              <w:t>7</w:t>
            </w:r>
            <w:r w:rsidR="00EE5B16" w:rsidRPr="00EE5B16">
              <w:rPr>
                <w:b/>
                <w:color w:val="0D0D0D"/>
              </w:rPr>
              <w:t>4</w:t>
            </w:r>
            <w:r w:rsidRPr="00EE5B16">
              <w:rPr>
                <w:b/>
                <w:color w:val="0D0D0D"/>
              </w:rPr>
              <w:t>%</w:t>
            </w:r>
          </w:p>
        </w:tc>
      </w:tr>
      <w:tr w:rsidR="009B4124" w:rsidTr="00BF7078">
        <w:trPr>
          <w:trHeight w:val="1015"/>
        </w:trPr>
        <w:tc>
          <w:tcPr>
            <w:tcW w:w="4943"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rPr>
                <w:color w:val="0D0D0D"/>
              </w:rPr>
              <w:t xml:space="preserve">% of pupils reaching the expected standard in Writing at the end of KS 2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Pr="00BF7078" w:rsidRDefault="00BF7078" w:rsidP="00BF7078">
            <w:pPr>
              <w:spacing w:after="0" w:line="259" w:lineRule="auto"/>
              <w:ind w:left="0" w:right="18" w:firstLine="0"/>
              <w:jc w:val="center"/>
            </w:pPr>
            <w:r w:rsidRPr="00BF7078">
              <w:rPr>
                <w:b/>
                <w:color w:val="0D0D0D"/>
              </w:rPr>
              <w:t>64</w:t>
            </w:r>
            <w:r w:rsidR="00ED11D7" w:rsidRPr="00BF7078">
              <w:rPr>
                <w:b/>
                <w:color w:val="0D0D0D"/>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Pr="00EE5B16" w:rsidRDefault="00EE5B16" w:rsidP="00BF7078">
            <w:pPr>
              <w:spacing w:after="0" w:line="259" w:lineRule="auto"/>
              <w:ind w:left="0" w:right="20" w:firstLine="0"/>
              <w:jc w:val="center"/>
            </w:pPr>
            <w:r w:rsidRPr="00EE5B16">
              <w:rPr>
                <w:b/>
                <w:color w:val="0D0D0D"/>
              </w:rPr>
              <w:t>72</w:t>
            </w:r>
            <w:r w:rsidR="00ED11D7" w:rsidRPr="00EE5B16">
              <w:rPr>
                <w:b/>
                <w:color w:val="0D0D0D"/>
              </w:rPr>
              <w:t>%</w:t>
            </w:r>
          </w:p>
        </w:tc>
      </w:tr>
      <w:tr w:rsidR="009B4124" w:rsidTr="00BF7078">
        <w:trPr>
          <w:trHeight w:val="1016"/>
        </w:trPr>
        <w:tc>
          <w:tcPr>
            <w:tcW w:w="4943"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rPr>
                <w:color w:val="0D0D0D"/>
              </w:rPr>
              <w:t xml:space="preserve">% of pupils reaching the expected standard in Maths at the end of KS 2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Pr="00BF7078" w:rsidRDefault="00BF7078" w:rsidP="00BF7078">
            <w:pPr>
              <w:spacing w:after="0" w:line="259" w:lineRule="auto"/>
              <w:ind w:left="0" w:right="18" w:firstLine="0"/>
              <w:jc w:val="center"/>
            </w:pPr>
            <w:r w:rsidRPr="00BF7078">
              <w:rPr>
                <w:b/>
                <w:color w:val="0D0D0D"/>
              </w:rPr>
              <w:t>71</w:t>
            </w:r>
            <w:r w:rsidR="00ED11D7" w:rsidRPr="00BF7078">
              <w:rPr>
                <w:b/>
                <w:color w:val="0D0D0D"/>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Pr="00EE5B16" w:rsidRDefault="00ED11D7" w:rsidP="00BF7078">
            <w:pPr>
              <w:spacing w:after="0" w:line="259" w:lineRule="auto"/>
              <w:ind w:left="0" w:right="20" w:firstLine="0"/>
              <w:jc w:val="center"/>
            </w:pPr>
            <w:r w:rsidRPr="00EE5B16">
              <w:rPr>
                <w:b/>
                <w:color w:val="0D0D0D"/>
              </w:rPr>
              <w:t>73%</w:t>
            </w:r>
          </w:p>
        </w:tc>
      </w:tr>
      <w:tr w:rsidR="009B4124" w:rsidTr="00BF7078">
        <w:trPr>
          <w:trHeight w:val="1015"/>
        </w:trPr>
        <w:tc>
          <w:tcPr>
            <w:tcW w:w="4943"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rPr>
                <w:color w:val="0D0D0D"/>
              </w:rPr>
              <w:t xml:space="preserve">% of pupils reaching the expected standard in GPS at the end of KS 2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Pr="00BF7078" w:rsidRDefault="00BF7078" w:rsidP="00BF7078">
            <w:pPr>
              <w:spacing w:after="0" w:line="259" w:lineRule="auto"/>
              <w:ind w:left="0" w:right="18" w:firstLine="0"/>
              <w:jc w:val="center"/>
            </w:pPr>
            <w:r w:rsidRPr="00BF7078">
              <w:rPr>
                <w:b/>
                <w:color w:val="0D0D0D"/>
              </w:rPr>
              <w:t>79</w:t>
            </w:r>
            <w:r w:rsidR="00ED11D7" w:rsidRPr="00BF7078">
              <w:rPr>
                <w:b/>
                <w:color w:val="0D0D0D"/>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Pr="00EE5B16" w:rsidRDefault="00ED11D7" w:rsidP="00BF7078">
            <w:pPr>
              <w:spacing w:after="0" w:line="259" w:lineRule="auto"/>
              <w:ind w:left="0" w:right="20" w:firstLine="0"/>
              <w:jc w:val="center"/>
            </w:pPr>
            <w:r w:rsidRPr="00EE5B16">
              <w:rPr>
                <w:b/>
                <w:color w:val="0D0D0D"/>
              </w:rPr>
              <w:t>72%</w:t>
            </w:r>
          </w:p>
        </w:tc>
      </w:tr>
      <w:tr w:rsidR="009B4124" w:rsidTr="00BF7078">
        <w:trPr>
          <w:trHeight w:val="1428"/>
        </w:trPr>
        <w:tc>
          <w:tcPr>
            <w:tcW w:w="4943" w:type="dxa"/>
            <w:tcBorders>
              <w:top w:val="single" w:sz="4" w:space="0" w:color="000000"/>
              <w:left w:val="single" w:sz="4" w:space="0" w:color="000000"/>
              <w:bottom w:val="single" w:sz="4" w:space="0" w:color="000000"/>
              <w:right w:val="single" w:sz="4" w:space="0" w:color="000000"/>
            </w:tcBorders>
            <w:vAlign w:val="center"/>
          </w:tcPr>
          <w:p w:rsidR="009B4124" w:rsidRDefault="00ED11D7">
            <w:pPr>
              <w:spacing w:after="0" w:line="259" w:lineRule="auto"/>
              <w:ind w:left="0" w:firstLine="0"/>
            </w:pPr>
            <w:r>
              <w:rPr>
                <w:color w:val="0D0D0D"/>
              </w:rPr>
              <w:t xml:space="preserve">% of pupils reaching the expected standard in Reading, Writing and Maths at the end of KS 2 </w:t>
            </w:r>
            <w:r>
              <w:t xml:space="preserve"> </w:t>
            </w:r>
          </w:p>
        </w:tc>
        <w:tc>
          <w:tcPr>
            <w:tcW w:w="2151" w:type="dxa"/>
            <w:tcBorders>
              <w:top w:val="single" w:sz="4" w:space="0" w:color="000000"/>
              <w:left w:val="single" w:sz="4" w:space="0" w:color="000000"/>
              <w:bottom w:val="single" w:sz="4" w:space="0" w:color="000000"/>
              <w:right w:val="single" w:sz="4" w:space="0" w:color="000000"/>
            </w:tcBorders>
            <w:vAlign w:val="center"/>
          </w:tcPr>
          <w:p w:rsidR="009B4124" w:rsidRPr="00BF7078" w:rsidRDefault="00BF7078" w:rsidP="00BF7078">
            <w:pPr>
              <w:spacing w:after="0" w:line="259" w:lineRule="auto"/>
              <w:ind w:left="0" w:right="18" w:firstLine="0"/>
              <w:jc w:val="center"/>
            </w:pPr>
            <w:r w:rsidRPr="00BF7078">
              <w:rPr>
                <w:b/>
                <w:color w:val="0D0D0D"/>
              </w:rPr>
              <w:t>64</w:t>
            </w:r>
            <w:r w:rsidR="00ED11D7" w:rsidRPr="00BF7078">
              <w:rPr>
                <w:b/>
                <w:color w:val="0D0D0D"/>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9B4124" w:rsidRPr="00EE5B16" w:rsidRDefault="00BF7078" w:rsidP="00BF7078">
            <w:pPr>
              <w:spacing w:after="0" w:line="259" w:lineRule="auto"/>
              <w:ind w:left="0" w:right="20" w:firstLine="0"/>
              <w:jc w:val="center"/>
              <w:rPr>
                <w:b/>
              </w:rPr>
            </w:pPr>
            <w:r w:rsidRPr="00EE5B16">
              <w:rPr>
                <w:b/>
              </w:rPr>
              <w:t>61%</w:t>
            </w:r>
          </w:p>
        </w:tc>
      </w:tr>
    </w:tbl>
    <w:p w:rsidR="009B4124" w:rsidRDefault="00ED11D7">
      <w:pPr>
        <w:spacing w:after="53" w:line="259" w:lineRule="auto"/>
        <w:ind w:left="1133" w:firstLine="0"/>
      </w:pPr>
      <w:r>
        <w:rPr>
          <w:color w:val="0D0D0D"/>
          <w:sz w:val="22"/>
        </w:rPr>
        <w:t xml:space="preserve"> </w:t>
      </w:r>
      <w:r>
        <w:t xml:space="preserve"> </w:t>
      </w:r>
    </w:p>
    <w:p w:rsidR="009B4124" w:rsidRDefault="00ED11D7">
      <w:pPr>
        <w:spacing w:after="135" w:line="259" w:lineRule="auto"/>
        <w:ind w:left="1133" w:firstLine="0"/>
      </w:pPr>
      <w:r>
        <w:rPr>
          <w:color w:val="0D0D0D"/>
          <w:sz w:val="22"/>
        </w:rPr>
        <w:t xml:space="preserve"> </w:t>
      </w:r>
      <w:r>
        <w:t xml:space="preserve"> </w:t>
      </w:r>
    </w:p>
    <w:p w:rsidR="009B4124" w:rsidRDefault="00ED11D7">
      <w:pPr>
        <w:spacing w:after="0" w:line="259" w:lineRule="auto"/>
        <w:ind w:left="1133" w:firstLine="0"/>
      </w:pPr>
      <w:r>
        <w:rPr>
          <w:b/>
        </w:rPr>
        <w:t xml:space="preserve">  </w:t>
      </w:r>
      <w:r>
        <w:rPr>
          <w:b/>
        </w:rPr>
        <w:tab/>
        <w:t xml:space="preserve"> </w:t>
      </w:r>
      <w:r>
        <w:t xml:space="preserve"> </w:t>
      </w:r>
    </w:p>
    <w:p w:rsidR="009B4124" w:rsidRDefault="00ED11D7">
      <w:pPr>
        <w:spacing w:after="161" w:line="259" w:lineRule="auto"/>
        <w:ind w:left="1114" w:hanging="10"/>
      </w:pPr>
      <w:r>
        <w:rPr>
          <w:b/>
        </w:rPr>
        <w:t xml:space="preserve">Outcomes to date:  </w:t>
      </w:r>
      <w:r>
        <w:t xml:space="preserve"> </w:t>
      </w:r>
    </w:p>
    <w:p w:rsidR="009B4124" w:rsidRDefault="00ED11D7">
      <w:pPr>
        <w:ind w:left="1124"/>
      </w:pPr>
      <w:r>
        <w:t>Our internal assessments during 202</w:t>
      </w:r>
      <w:r w:rsidR="00731D59">
        <w:t>3/24</w:t>
      </w:r>
      <w:r>
        <w:t xml:space="preserve"> suggested that the performance of disadvantaged pupils was lower than in previous years in key areas of the curriculum. </w:t>
      </w:r>
    </w:p>
    <w:p w:rsidR="009B4124" w:rsidRDefault="00ED11D7">
      <w:pPr>
        <w:ind w:left="1124"/>
      </w:pPr>
      <w:r>
        <w:t xml:space="preserve">The school has continued with its aim to increase its learning hours through its Pupil Premium spending, by providing more opportunities outside of the school day. This includes </w:t>
      </w:r>
      <w:r w:rsidR="00764B31">
        <w:t>breakfast maths clubs and enabling children to access our BASC</w:t>
      </w:r>
      <w:r>
        <w:t xml:space="preserve">.   </w:t>
      </w:r>
    </w:p>
    <w:p w:rsidR="009B4124" w:rsidRDefault="00ED11D7" w:rsidP="00764B31">
      <w:pPr>
        <w:spacing w:after="0"/>
        <w:ind w:left="1124"/>
      </w:pPr>
      <w:r>
        <w:t>In addition to supporting Pupil Premium children who are working below age related expectation in accessing the curriculum, Somerset Bridge Primary School believes in targeting all Pupil Premium children to meet their full potential. Therefore, interventions have been put in place to stretch those pupils working at age-related expectation and the needs of more able pupils have been through investing Pupil Premium funding</w:t>
      </w:r>
      <w:r w:rsidR="00764B31">
        <w:t xml:space="preserve"> in</w:t>
      </w:r>
      <w:r>
        <w:t xml:space="preserve"> workshops and residential visits.  </w:t>
      </w:r>
      <w:r>
        <w:tab/>
        <w:t xml:space="preserve"> </w:t>
      </w:r>
    </w:p>
    <w:p w:rsidR="009B4124" w:rsidRDefault="00ED11D7">
      <w:pPr>
        <w:spacing w:after="211" w:line="263" w:lineRule="auto"/>
        <w:ind w:left="1114" w:hanging="10"/>
      </w:pPr>
      <w:r>
        <w:rPr>
          <w:b/>
          <w:color w:val="76923C"/>
        </w:rPr>
        <w:lastRenderedPageBreak/>
        <w:t xml:space="preserve">Further information  </w:t>
      </w:r>
      <w:r>
        <w:t xml:space="preserve"> </w:t>
      </w:r>
    </w:p>
    <w:p w:rsidR="009B4124" w:rsidRDefault="00ED11D7">
      <w:pPr>
        <w:pStyle w:val="Heading1"/>
        <w:spacing w:after="161" w:line="259" w:lineRule="auto"/>
        <w:ind w:left="1114"/>
      </w:pPr>
      <w:r>
        <w:rPr>
          <w:color w:val="000000"/>
        </w:rPr>
        <w:t xml:space="preserve">Additional activity  </w:t>
      </w:r>
    </w:p>
    <w:p w:rsidR="009B4124" w:rsidRDefault="00ED11D7">
      <w:pPr>
        <w:ind w:left="1124"/>
      </w:pPr>
      <w:r>
        <w:t xml:space="preserve">Our pupil premium strategy will be supplemented by additional activity that is not being funded by pupil premium or recovery premium. That will include:   </w:t>
      </w:r>
    </w:p>
    <w:p w:rsidR="009B4124" w:rsidRDefault="00ED11D7">
      <w:pPr>
        <w:numPr>
          <w:ilvl w:val="0"/>
          <w:numId w:val="1"/>
        </w:numPr>
        <w:spacing w:after="164"/>
        <w:ind w:hanging="355"/>
      </w:pPr>
      <w:r>
        <w:t xml:space="preserve">utilising a </w:t>
      </w:r>
      <w:hyperlink r:id="rId37">
        <w:r>
          <w:rPr>
            <w:color w:val="0070C0"/>
            <w:u w:val="single" w:color="0070C0"/>
          </w:rPr>
          <w:t>DfE grant to train a senior mental health lea</w:t>
        </w:r>
      </w:hyperlink>
      <w:hyperlink r:id="rId38">
        <w:r>
          <w:rPr>
            <w:color w:val="0070C0"/>
            <w:u w:val="single" w:color="0070C0"/>
          </w:rPr>
          <w:t>d</w:t>
        </w:r>
      </w:hyperlink>
      <w:hyperlink r:id="rId39">
        <w:r>
          <w:t>.</w:t>
        </w:r>
      </w:hyperlink>
      <w:hyperlink r:id="rId40">
        <w:r>
          <w:t xml:space="preserve"> </w:t>
        </w:r>
      </w:hyperlink>
      <w:r>
        <w:t xml:space="preserve">The training we have selected will focus on the training needs identified through the online tool: to develop our understanding of our pupils’ needs, give pupils a voice in how we address wellbeing, and support more effective collaboration with parents.  </w:t>
      </w:r>
    </w:p>
    <w:p w:rsidR="009B4124" w:rsidRDefault="00ED11D7">
      <w:pPr>
        <w:numPr>
          <w:ilvl w:val="0"/>
          <w:numId w:val="1"/>
        </w:numPr>
        <w:spacing w:after="0"/>
        <w:ind w:hanging="355"/>
      </w:pPr>
      <w:r>
        <w:t xml:space="preserve">offering a wide range of high-quality extracurricular activities to boost wellbeing, behaviour, attendance, and aspiration. Activities will focus on building life skills such as confidence, resilience, and socialising. </w:t>
      </w:r>
    </w:p>
    <w:p w:rsidR="009B4124" w:rsidRDefault="00ED11D7">
      <w:pPr>
        <w:spacing w:after="278" w:line="259" w:lineRule="auto"/>
        <w:ind w:left="1109" w:firstLine="0"/>
        <w:jc w:val="center"/>
      </w:pPr>
      <w:r>
        <w:t xml:space="preserve">Disadvantaged pupils will be encouraged and supported to participate.  </w:t>
      </w:r>
    </w:p>
    <w:p w:rsidR="009B4124" w:rsidRDefault="00ED11D7">
      <w:pPr>
        <w:pStyle w:val="Heading1"/>
        <w:spacing w:after="161" w:line="259" w:lineRule="auto"/>
        <w:ind w:left="1114"/>
      </w:pPr>
      <w:r>
        <w:rPr>
          <w:color w:val="000000"/>
        </w:rPr>
        <w:t xml:space="preserve">Planning, implementation, and evaluation  </w:t>
      </w:r>
    </w:p>
    <w:p w:rsidR="009B4124" w:rsidRDefault="00ED11D7">
      <w:pPr>
        <w:ind w:left="1124"/>
      </w:pPr>
      <w:r>
        <w:t xml:space="preserve">We triangulated evidence from multiple sources of data including assessments, engagement in class book scrutiny, conversations with parents, students and teachers in order to identify the challenges faced by disadvantaged pupils. We also used the EEF’s families of </w:t>
      </w:r>
      <w:proofErr w:type="gramStart"/>
      <w:r>
        <w:t>schools</w:t>
      </w:r>
      <w:proofErr w:type="gramEnd"/>
      <w:r>
        <w:t xml:space="preserve"> database to view the performance of disadvantaged pupils in schools similar to ours and contacted schools with </w:t>
      </w:r>
      <w:proofErr w:type="spellStart"/>
      <w:r>
        <w:t>highperforming</w:t>
      </w:r>
      <w:proofErr w:type="spellEnd"/>
      <w:r>
        <w:t xml:space="preserve"> disadvantaged pupils to learn from their approach.  </w:t>
      </w:r>
    </w:p>
    <w:p w:rsidR="009B4124" w:rsidRDefault="00ED11D7">
      <w:pPr>
        <w:ind w:left="1124"/>
      </w:pPr>
      <w:r>
        <w:t xml:space="preserve">We looked at a number of reports, studies and research papers about effective use of pupil premium, the impact of disadvantage on education outcomes and how to address challenges to learning presented by socio-economic disadvantage. </w:t>
      </w:r>
    </w:p>
    <w:p w:rsidR="009B4124" w:rsidRDefault="00ED11D7">
      <w:pPr>
        <w:spacing w:after="117"/>
        <w:ind w:left="1124"/>
      </w:pPr>
      <w:r>
        <w:t xml:space="preserve">We used the </w:t>
      </w:r>
      <w:hyperlink r:id="rId41">
        <w:r>
          <w:rPr>
            <w:color w:val="0070C0"/>
            <w:u w:val="single" w:color="0070C0"/>
          </w:rPr>
          <w:t>EEF’s implementation guidanc</w:t>
        </w:r>
      </w:hyperlink>
      <w:hyperlink r:id="rId42">
        <w:r>
          <w:rPr>
            <w:color w:val="0070C0"/>
            <w:u w:val="single" w:color="0070C0"/>
          </w:rPr>
          <w:t>e</w:t>
        </w:r>
      </w:hyperlink>
      <w:hyperlink r:id="rId43">
        <w:r>
          <w:t xml:space="preserve"> </w:t>
        </w:r>
      </w:hyperlink>
      <w:hyperlink r:id="rId44">
        <w:r>
          <w:t>t</w:t>
        </w:r>
      </w:hyperlink>
      <w:r>
        <w:t xml:space="preserve">o help us develop our strategy, particularly the ‘explore’ phase to help us diagnose specific pupil needs and work out which activities and approaches are likely to work in our school. We will continue to use it through the implementation of activities.   </w:t>
      </w:r>
    </w:p>
    <w:p w:rsidR="009B4124" w:rsidRDefault="00ED11D7" w:rsidP="00764B31">
      <w:pPr>
        <w:ind w:left="1124"/>
      </w:pPr>
      <w:r>
        <w:t xml:space="preserve">We have put a robust evaluation framework in place for the duration of our </w:t>
      </w:r>
      <w:proofErr w:type="gramStart"/>
      <w:r>
        <w:t>three year</w:t>
      </w:r>
      <w:proofErr w:type="gramEnd"/>
      <w:r>
        <w:t xml:space="preserve"> approach and will adjust our plan over time to secure better outcomes for pupils.</w:t>
      </w:r>
      <w:r>
        <w:rPr>
          <w:rFonts w:ascii="Arial" w:eastAsia="Arial" w:hAnsi="Arial" w:cs="Arial"/>
          <w:color w:val="0D0D0D"/>
          <w:sz w:val="24"/>
        </w:rPr>
        <w:t xml:space="preserve"> </w:t>
      </w:r>
      <w:r>
        <w:t xml:space="preserve"> </w:t>
      </w:r>
      <w:r>
        <w:rPr>
          <w:color w:val="0D0D0D"/>
        </w:rPr>
        <w:t xml:space="preserve"> </w:t>
      </w:r>
      <w:r>
        <w:t xml:space="preserve"> </w:t>
      </w:r>
    </w:p>
    <w:sectPr w:rsidR="009B4124">
      <w:footerReference w:type="even" r:id="rId45"/>
      <w:footerReference w:type="default" r:id="rId46"/>
      <w:footerReference w:type="first" r:id="rId47"/>
      <w:pgSz w:w="11906" w:h="16838"/>
      <w:pgMar w:top="1142" w:right="1280" w:bottom="1323" w:left="0" w:header="72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21FD" w:rsidRDefault="00F021FD">
      <w:pPr>
        <w:spacing w:after="0" w:line="240" w:lineRule="auto"/>
      </w:pPr>
      <w:r>
        <w:separator/>
      </w:r>
    </w:p>
  </w:endnote>
  <w:endnote w:type="continuationSeparator" w:id="0">
    <w:p w:rsidR="00F021FD" w:rsidRDefault="00F02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124" w:rsidRDefault="00ED11D7">
    <w:pPr>
      <w:spacing w:after="0" w:line="259" w:lineRule="auto"/>
      <w:ind w:left="799" w:firstLine="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124" w:rsidRDefault="00ED11D7">
    <w:pPr>
      <w:spacing w:after="0" w:line="259" w:lineRule="auto"/>
      <w:ind w:left="799" w:firstLine="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4124" w:rsidRDefault="00ED11D7">
    <w:pPr>
      <w:spacing w:after="0" w:line="259" w:lineRule="auto"/>
      <w:ind w:left="799" w:firstLine="0"/>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21FD" w:rsidRDefault="00F021FD">
      <w:pPr>
        <w:spacing w:after="0" w:line="240" w:lineRule="auto"/>
      </w:pPr>
      <w:r>
        <w:separator/>
      </w:r>
    </w:p>
  </w:footnote>
  <w:footnote w:type="continuationSeparator" w:id="0">
    <w:p w:rsidR="00F021FD" w:rsidRDefault="00F02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0D6A"/>
    <w:multiLevelType w:val="hybridMultilevel"/>
    <w:tmpl w:val="98A21988"/>
    <w:lvl w:ilvl="0" w:tplc="B7B8C248">
      <w:start w:val="1"/>
      <w:numFmt w:val="bullet"/>
      <w:lvlText w:val="•"/>
      <w:lvlJc w:val="left"/>
      <w:pPr>
        <w:ind w:left="4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13EC204">
      <w:start w:val="1"/>
      <w:numFmt w:val="bullet"/>
      <w:lvlText w:val="o"/>
      <w:lvlJc w:val="left"/>
      <w:pPr>
        <w:ind w:left="12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B26055C">
      <w:start w:val="1"/>
      <w:numFmt w:val="bullet"/>
      <w:lvlText w:val="▪"/>
      <w:lvlJc w:val="left"/>
      <w:pPr>
        <w:ind w:left="19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156F078">
      <w:start w:val="1"/>
      <w:numFmt w:val="bullet"/>
      <w:lvlText w:val="•"/>
      <w:lvlJc w:val="left"/>
      <w:pPr>
        <w:ind w:left="268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2BC47EA">
      <w:start w:val="1"/>
      <w:numFmt w:val="bullet"/>
      <w:lvlText w:val="o"/>
      <w:lvlJc w:val="left"/>
      <w:pPr>
        <w:ind w:left="340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D78DF10">
      <w:start w:val="1"/>
      <w:numFmt w:val="bullet"/>
      <w:lvlText w:val="▪"/>
      <w:lvlJc w:val="left"/>
      <w:pPr>
        <w:ind w:left="412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7761A84">
      <w:start w:val="1"/>
      <w:numFmt w:val="bullet"/>
      <w:lvlText w:val="•"/>
      <w:lvlJc w:val="left"/>
      <w:pPr>
        <w:ind w:left="48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0A889BA">
      <w:start w:val="1"/>
      <w:numFmt w:val="bullet"/>
      <w:lvlText w:val="o"/>
      <w:lvlJc w:val="left"/>
      <w:pPr>
        <w:ind w:left="55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798153E">
      <w:start w:val="1"/>
      <w:numFmt w:val="bullet"/>
      <w:lvlText w:val="▪"/>
      <w:lvlJc w:val="left"/>
      <w:pPr>
        <w:ind w:left="628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C946F28"/>
    <w:multiLevelType w:val="hybridMultilevel"/>
    <w:tmpl w:val="65CCA068"/>
    <w:lvl w:ilvl="0" w:tplc="52A86550">
      <w:start w:val="1"/>
      <w:numFmt w:val="bullet"/>
      <w:lvlText w:val="•"/>
      <w:lvlJc w:val="left"/>
      <w:pPr>
        <w:ind w:left="38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47EE3EC">
      <w:start w:val="1"/>
      <w:numFmt w:val="bullet"/>
      <w:lvlText w:val="o"/>
      <w:lvlJc w:val="left"/>
      <w:pPr>
        <w:ind w:left="12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8B4C8100">
      <w:start w:val="1"/>
      <w:numFmt w:val="bullet"/>
      <w:lvlText w:val="▪"/>
      <w:lvlJc w:val="left"/>
      <w:pPr>
        <w:ind w:left="19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132658E">
      <w:start w:val="1"/>
      <w:numFmt w:val="bullet"/>
      <w:lvlText w:val="•"/>
      <w:lvlJc w:val="left"/>
      <w:pPr>
        <w:ind w:left="26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E105196">
      <w:start w:val="1"/>
      <w:numFmt w:val="bullet"/>
      <w:lvlText w:val="o"/>
      <w:lvlJc w:val="left"/>
      <w:pPr>
        <w:ind w:left="337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C987790">
      <w:start w:val="1"/>
      <w:numFmt w:val="bullet"/>
      <w:lvlText w:val="▪"/>
      <w:lvlJc w:val="left"/>
      <w:pPr>
        <w:ind w:left="409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E00C3AC">
      <w:start w:val="1"/>
      <w:numFmt w:val="bullet"/>
      <w:lvlText w:val="•"/>
      <w:lvlJc w:val="left"/>
      <w:pPr>
        <w:ind w:left="481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7C0362A">
      <w:start w:val="1"/>
      <w:numFmt w:val="bullet"/>
      <w:lvlText w:val="o"/>
      <w:lvlJc w:val="left"/>
      <w:pPr>
        <w:ind w:left="553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8926572">
      <w:start w:val="1"/>
      <w:numFmt w:val="bullet"/>
      <w:lvlText w:val="▪"/>
      <w:lvlJc w:val="left"/>
      <w:pPr>
        <w:ind w:left="625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FE27D07"/>
    <w:multiLevelType w:val="hybridMultilevel"/>
    <w:tmpl w:val="A3C0687C"/>
    <w:lvl w:ilvl="0" w:tplc="EF10C252">
      <w:start w:val="1"/>
      <w:numFmt w:val="bullet"/>
      <w:lvlText w:val="•"/>
      <w:lvlJc w:val="left"/>
      <w:pPr>
        <w:ind w:left="184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F02FC60">
      <w:start w:val="1"/>
      <w:numFmt w:val="bullet"/>
      <w:lvlText w:val="o"/>
      <w:lvlJc w:val="left"/>
      <w:pPr>
        <w:ind w:left="14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795AF6B8">
      <w:start w:val="1"/>
      <w:numFmt w:val="bullet"/>
      <w:lvlText w:val="▪"/>
      <w:lvlJc w:val="left"/>
      <w:pPr>
        <w:ind w:left="21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A0CADE02">
      <w:start w:val="1"/>
      <w:numFmt w:val="bullet"/>
      <w:lvlText w:val="•"/>
      <w:lvlJc w:val="left"/>
      <w:pPr>
        <w:ind w:left="28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EAADC06">
      <w:start w:val="1"/>
      <w:numFmt w:val="bullet"/>
      <w:lvlText w:val="o"/>
      <w:lvlJc w:val="left"/>
      <w:pPr>
        <w:ind w:left="36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4F9809EA">
      <w:start w:val="1"/>
      <w:numFmt w:val="bullet"/>
      <w:lvlText w:val="▪"/>
      <w:lvlJc w:val="left"/>
      <w:pPr>
        <w:ind w:left="43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A6045C22">
      <w:start w:val="1"/>
      <w:numFmt w:val="bullet"/>
      <w:lvlText w:val="•"/>
      <w:lvlJc w:val="left"/>
      <w:pPr>
        <w:ind w:left="50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1C641CA">
      <w:start w:val="1"/>
      <w:numFmt w:val="bullet"/>
      <w:lvlText w:val="o"/>
      <w:lvlJc w:val="left"/>
      <w:pPr>
        <w:ind w:left="577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56F8E59A">
      <w:start w:val="1"/>
      <w:numFmt w:val="bullet"/>
      <w:lvlText w:val="▪"/>
      <w:lvlJc w:val="left"/>
      <w:pPr>
        <w:ind w:left="64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A3E1078"/>
    <w:multiLevelType w:val="hybridMultilevel"/>
    <w:tmpl w:val="1B40A8F0"/>
    <w:lvl w:ilvl="0" w:tplc="81CE3050">
      <w:start w:val="1"/>
      <w:numFmt w:val="bullet"/>
      <w:lvlText w:val="•"/>
      <w:lvlJc w:val="left"/>
      <w:pPr>
        <w:ind w:left="71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EB0026E0">
      <w:start w:val="1"/>
      <w:numFmt w:val="bullet"/>
      <w:lvlText w:val="o"/>
      <w:lvlJc w:val="left"/>
      <w:pPr>
        <w:ind w:left="15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9C4EDF0">
      <w:start w:val="1"/>
      <w:numFmt w:val="bullet"/>
      <w:lvlText w:val="▪"/>
      <w:lvlJc w:val="left"/>
      <w:pPr>
        <w:ind w:left="22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9E1C19A4">
      <w:start w:val="1"/>
      <w:numFmt w:val="bullet"/>
      <w:lvlText w:val="•"/>
      <w:lvlJc w:val="left"/>
      <w:pPr>
        <w:ind w:left="29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230B136">
      <w:start w:val="1"/>
      <w:numFmt w:val="bullet"/>
      <w:lvlText w:val="o"/>
      <w:lvlJc w:val="left"/>
      <w:pPr>
        <w:ind w:left="370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E95E7BBC">
      <w:start w:val="1"/>
      <w:numFmt w:val="bullet"/>
      <w:lvlText w:val="▪"/>
      <w:lvlJc w:val="left"/>
      <w:pPr>
        <w:ind w:left="442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56A68928">
      <w:start w:val="1"/>
      <w:numFmt w:val="bullet"/>
      <w:lvlText w:val="•"/>
      <w:lvlJc w:val="left"/>
      <w:pPr>
        <w:ind w:left="514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F9E24C4">
      <w:start w:val="1"/>
      <w:numFmt w:val="bullet"/>
      <w:lvlText w:val="o"/>
      <w:lvlJc w:val="left"/>
      <w:pPr>
        <w:ind w:left="586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B838B06E">
      <w:start w:val="1"/>
      <w:numFmt w:val="bullet"/>
      <w:lvlText w:val="▪"/>
      <w:lvlJc w:val="left"/>
      <w:pPr>
        <w:ind w:left="65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124"/>
    <w:rsid w:val="00257928"/>
    <w:rsid w:val="00731D59"/>
    <w:rsid w:val="00764B31"/>
    <w:rsid w:val="009B4124"/>
    <w:rsid w:val="00BF7078"/>
    <w:rsid w:val="00C00680"/>
    <w:rsid w:val="00ED11D7"/>
    <w:rsid w:val="00EE5B16"/>
    <w:rsid w:val="00F02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F08E"/>
  <w15:docId w15:val="{8D0EE3FD-265E-497E-9BE4-B299127B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1" w:line="287" w:lineRule="auto"/>
      <w:ind w:left="1139" w:hanging="20"/>
    </w:pPr>
    <w:rPr>
      <w:rFonts w:ascii="Calibri" w:eastAsia="Calibri" w:hAnsi="Calibri" w:cs="Calibri"/>
      <w:color w:val="000000"/>
      <w:sz w:val="28"/>
    </w:rPr>
  </w:style>
  <w:style w:type="paragraph" w:styleId="Heading1">
    <w:name w:val="heading 1"/>
    <w:next w:val="Normal"/>
    <w:link w:val="Heading1Char"/>
    <w:uiPriority w:val="9"/>
    <w:qFormat/>
    <w:pPr>
      <w:keepNext/>
      <w:keepLines/>
      <w:spacing w:after="211" w:line="263" w:lineRule="auto"/>
      <w:ind w:left="1129" w:hanging="10"/>
      <w:outlineLvl w:val="0"/>
    </w:pPr>
    <w:rPr>
      <w:rFonts w:ascii="Calibri" w:eastAsia="Calibri" w:hAnsi="Calibri" w:cs="Calibri"/>
      <w:b/>
      <w:color w:val="76923C"/>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76923C"/>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hoosing-a-phonics-teaching-programme" TargetMode="External"/><Relationship Id="rId18" Type="http://schemas.openxmlformats.org/officeDocument/2006/relationships/hyperlink" Target="https://educationendowmentfoundation.org.uk/public/files/Publications/SEL/EEF_Social_and_Emotional_Learning.pdf" TargetMode="External"/><Relationship Id="rId26" Type="http://schemas.openxmlformats.org/officeDocument/2006/relationships/hyperlink" Target="https://educationendowmentfoundation.org.uk/education-evidence/teaching-learning-toolkit/one-to-one-tuition" TargetMode="External"/><Relationship Id="rId39" Type="http://schemas.openxmlformats.org/officeDocument/2006/relationships/hyperlink" Target="https://www.gov.uk/guidance/senior-mental-health-lead-training" TargetMode="External"/><Relationship Id="rId21" Type="http://schemas.openxmlformats.org/officeDocument/2006/relationships/hyperlink" Target="https://educationendowmentfoundation.org.uk/evidence-summaries/teaching-learning-toolkit/phonics/" TargetMode="External"/><Relationship Id="rId34" Type="http://schemas.openxmlformats.org/officeDocument/2006/relationships/hyperlink" Target="https://www.gov.uk/government/publications/school-attendance/framework-for-securing-full-attendance-actions-for-schools-and-local-authorities" TargetMode="External"/><Relationship Id="rId42" Type="http://schemas.openxmlformats.org/officeDocument/2006/relationships/hyperlink" Target="https://educationendowmentfoundation.org.uk/education-evidence/guidance-reports/implementation" TargetMode="Externa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endowmentfoundation.org.uk/public/files/Publications/SEL/EEF_Social_and_Emotional_Learning.pdf" TargetMode="External"/><Relationship Id="rId29" Type="http://schemas.openxmlformats.org/officeDocument/2006/relationships/hyperlink" Target="https://educationendowmentfoundation.org.uk/evidence-summaries/teaching-learning-toolkit/small-group-tuition/" TargetMode="External"/><Relationship Id="rId11" Type="http://schemas.openxmlformats.org/officeDocument/2006/relationships/hyperlink" Target="https://www.gov.uk/government/publications/choosing-a-phonics-teaching-programme" TargetMode="External"/><Relationship Id="rId24" Type="http://schemas.openxmlformats.org/officeDocument/2006/relationships/hyperlink" Target="https://educationendowmentfoundation.org.uk/evidence-summaries/teaching-learning-toolkit/phonics/" TargetMode="External"/><Relationship Id="rId32" Type="http://schemas.openxmlformats.org/officeDocument/2006/relationships/hyperlink" Target="https://educationendowmentfoundation.org.uk/evidence-summaries/teaching-learning-toolkit/small-group-tuition/" TargetMode="External"/><Relationship Id="rId37" Type="http://schemas.openxmlformats.org/officeDocument/2006/relationships/hyperlink" Target="https://www.gov.uk/guidance/senior-mental-health-lead-training" TargetMode="External"/><Relationship Id="rId40" Type="http://schemas.openxmlformats.org/officeDocument/2006/relationships/hyperlink" Target="https://www.gov.uk/guidance/senior-mental-health-lead-training"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ducationendowmentfoundation.org.uk/public/files/Publications/SEL/EEF_Social_and_Emotional_Learning.pdf" TargetMode="External"/><Relationship Id="rId23" Type="http://schemas.openxmlformats.org/officeDocument/2006/relationships/hyperlink" Target="https://educationendowmentfoundation.org.uk/evidence-summaries/teaching-learning-toolkit/phonics/" TargetMode="External"/><Relationship Id="rId28" Type="http://schemas.openxmlformats.org/officeDocument/2006/relationships/hyperlink" Target="https://educationendowmentfoundation.org.uk/education-evidence/teaching-learning-toolkit/one-to-one-tuition" TargetMode="External"/><Relationship Id="rId36" Type="http://schemas.openxmlformats.org/officeDocument/2006/relationships/hyperlink" Target="https://www.gov.uk/government/publications/school-attendance/framework-for-securing-full-attendance-actions-for-schools-and-local-authorities" TargetMode="External"/><Relationship Id="rId49" Type="http://schemas.openxmlformats.org/officeDocument/2006/relationships/theme" Target="theme/theme1.xml"/><Relationship Id="rId10" Type="http://schemas.openxmlformats.org/officeDocument/2006/relationships/hyperlink" Target="https://www.gov.uk/government/publications/choosing-a-phonics-teaching-programme" TargetMode="External"/><Relationship Id="rId19" Type="http://schemas.openxmlformats.org/officeDocument/2006/relationships/hyperlink" Target="https://educationendowmentfoundation.org.uk/public/files/Publications/SEL/EEF_Social_and_Emotional_Learning.pdf" TargetMode="External"/><Relationship Id="rId31" Type="http://schemas.openxmlformats.org/officeDocument/2006/relationships/hyperlink" Target="https://educationendowmentfoundation.org.uk/evidence-summaries/teaching-learning-toolkit/small-group-tuition/" TargetMode="External"/><Relationship Id="rId44" Type="http://schemas.openxmlformats.org/officeDocument/2006/relationships/hyperlink" Target="https://educationendowmentfoundation.org.uk/education-evidence/guidance-reports/implementation" TargetMode="External"/><Relationship Id="rId4" Type="http://schemas.openxmlformats.org/officeDocument/2006/relationships/settings" Target="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www.gov.uk/government/publications/choosing-a-phonics-teaching-programme" TargetMode="External"/><Relationship Id="rId22" Type="http://schemas.openxmlformats.org/officeDocument/2006/relationships/hyperlink" Target="https://educationendowmentfoundation.org.uk/evidence-summaries/teaching-learning-toolkit/phonics/" TargetMode="External"/><Relationship Id="rId27" Type="http://schemas.openxmlformats.org/officeDocument/2006/relationships/hyperlink" Target="https://educationendowmentfoundation.org.uk/education-evidence/teaching-learning-toolkit/one-to-one-tuition" TargetMode="External"/><Relationship Id="rId30" Type="http://schemas.openxmlformats.org/officeDocument/2006/relationships/hyperlink" Target="https://educationendowmentfoundation.org.uk/evidence-summaries/teaching-learning-toolkit/small-group-tuition/" TargetMode="External"/><Relationship Id="rId35" Type="http://schemas.openxmlformats.org/officeDocument/2006/relationships/hyperlink" Target="https://www.gov.uk/government/publications/school-attendance/framework-for-securing-full-attendance-actions-for-schools-and-local-authorities" TargetMode="External"/><Relationship Id="rId43" Type="http://schemas.openxmlformats.org/officeDocument/2006/relationships/hyperlink" Target="https://educationendowmentfoundation.org.uk/education-evidence/guidance-reports/implementation" TargetMode="External"/><Relationship Id="rId48" Type="http://schemas.openxmlformats.org/officeDocument/2006/relationships/fontTable" Target="fontTable.xml"/><Relationship Id="rId8" Type="http://schemas.openxmlformats.org/officeDocument/2006/relationships/hyperlink" Target="https://www.gov.uk/government/publications/choosing-a-phonics-teaching-programme" TargetMode="External"/><Relationship Id="rId3" Type="http://schemas.openxmlformats.org/officeDocument/2006/relationships/styles" Target="styles.xml"/><Relationship Id="rId12" Type="http://schemas.openxmlformats.org/officeDocument/2006/relationships/hyperlink" Target="https://www.gov.uk/government/publications/choosing-a-phonics-teaching-programme" TargetMode="External"/><Relationship Id="rId17" Type="http://schemas.openxmlformats.org/officeDocument/2006/relationships/hyperlink" Target="https://educationendowmentfoundation.org.uk/public/files/Publications/SEL/EEF_Social_and_Emotional_Learning.pdf" TargetMode="External"/><Relationship Id="rId25" Type="http://schemas.openxmlformats.org/officeDocument/2006/relationships/hyperlink" Target="https://educationendowmentfoundation.org.uk/education-evidence/teaching-learning-toolkit/one-to-one-tuition" TargetMode="External"/><Relationship Id="rId33" Type="http://schemas.openxmlformats.org/officeDocument/2006/relationships/hyperlink" Target="https://educationendowmentfoundation.org.uk/evidence-summaries/teaching-learning-toolkit/small-group-tuition/" TargetMode="External"/><Relationship Id="rId38" Type="http://schemas.openxmlformats.org/officeDocument/2006/relationships/hyperlink" Target="https://www.gov.uk/guidance/senior-mental-health-lead-training" TargetMode="External"/><Relationship Id="rId46" Type="http://schemas.openxmlformats.org/officeDocument/2006/relationships/footer" Target="footer2.xml"/><Relationship Id="rId20" Type="http://schemas.openxmlformats.org/officeDocument/2006/relationships/hyperlink" Target="https://educationendowmentfoundation.org.uk/evidence-summaries/teaching-learning-toolkit/phonics/" TargetMode="External"/><Relationship Id="rId41" Type="http://schemas.openxmlformats.org/officeDocument/2006/relationships/hyperlink" Target="https://educationendowmentfoundation.org.uk/education-evidence/guidance-reports/implementa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85644-E891-4FAF-A22C-95615AD91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Pupil premium example statement (primary)</vt:lpstr>
    </vt:vector>
  </TitlesOfParts>
  <Company>Somerset Bridge Primary</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(primary)</dc:title>
  <dc:subject/>
  <dc:creator>Publishing.TEAM@education.gsi.gov.uk</dc:creator>
  <cp:keywords/>
  <cp:lastModifiedBy>Kevin Bryant</cp:lastModifiedBy>
  <cp:revision>5</cp:revision>
  <dcterms:created xsi:type="dcterms:W3CDTF">2024-11-27T21:22:00Z</dcterms:created>
  <dcterms:modified xsi:type="dcterms:W3CDTF">2024-11-28T07:58:00Z</dcterms:modified>
</cp:coreProperties>
</file>